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264360" w14:textId="77777777" w:rsidR="00196CBC" w:rsidRPr="00E519DB" w:rsidRDefault="003D7AFC" w:rsidP="00596F35">
      <w:pPr>
        <w:spacing w:line="240" w:lineRule="auto"/>
        <w:contextualSpacing/>
        <w:jc w:val="center"/>
        <w:rPr>
          <w:rFonts w:ascii="Times New Roman" w:hAnsi="Times New Roman" w:cs="Times New Roman"/>
          <w:b/>
          <w:color w:val="403152" w:themeColor="accent4" w:themeShade="80"/>
          <w:sz w:val="24"/>
          <w:szCs w:val="24"/>
        </w:rPr>
      </w:pPr>
      <w:bookmarkStart w:id="0" w:name="_CITRUS_ITALIC"/>
      <w:bookmarkEnd w:id="0"/>
      <w:r w:rsidRPr="00E519DB">
        <w:rPr>
          <w:rFonts w:ascii="Times New Roman" w:hAnsi="Times New Roman" w:cs="Times New Roman"/>
          <w:b/>
          <w:color w:val="403152" w:themeColor="accent4" w:themeShade="80"/>
          <w:sz w:val="24"/>
          <w:szCs w:val="24"/>
        </w:rPr>
        <w:t>UNITED STATES DISTRICT COURT</w:t>
      </w:r>
    </w:p>
    <w:p w14:paraId="7BF39F8D" w14:textId="77777777" w:rsidR="003D7AFC" w:rsidRPr="00E519DB" w:rsidRDefault="003D7AFC" w:rsidP="00596F35">
      <w:pPr>
        <w:pBdr>
          <w:bottom w:val="single" w:sz="6" w:space="1" w:color="auto"/>
        </w:pBdr>
        <w:spacing w:line="240" w:lineRule="auto"/>
        <w:contextualSpacing/>
        <w:jc w:val="center"/>
        <w:rPr>
          <w:rFonts w:ascii="Times New Roman" w:hAnsi="Times New Roman" w:cs="Times New Roman"/>
          <w:b/>
          <w:color w:val="403152" w:themeColor="accent4" w:themeShade="80"/>
          <w:sz w:val="24"/>
          <w:szCs w:val="24"/>
        </w:rPr>
      </w:pPr>
      <w:r w:rsidRPr="00E519DB">
        <w:rPr>
          <w:rFonts w:ascii="Times New Roman" w:hAnsi="Times New Roman" w:cs="Times New Roman"/>
          <w:b/>
          <w:color w:val="403152" w:themeColor="accent4" w:themeShade="80"/>
          <w:sz w:val="24"/>
          <w:szCs w:val="24"/>
        </w:rPr>
        <w:t>DISTRICT OF MOOT</w:t>
      </w:r>
    </w:p>
    <w:p w14:paraId="4C3CD0B8" w14:textId="77777777" w:rsidR="00545E0D" w:rsidRPr="00E519DB" w:rsidRDefault="00545E0D" w:rsidP="00596F35">
      <w:pPr>
        <w:spacing w:line="240" w:lineRule="auto"/>
        <w:contextualSpacing/>
        <w:jc w:val="center"/>
        <w:rPr>
          <w:rFonts w:ascii="Times New Roman" w:hAnsi="Times New Roman" w:cs="Times New Roman"/>
          <w:b/>
          <w:color w:val="403152" w:themeColor="accent4" w:themeShade="80"/>
          <w:sz w:val="24"/>
          <w:szCs w:val="24"/>
        </w:rPr>
      </w:pPr>
    </w:p>
    <w:p w14:paraId="541FFD48" w14:textId="77777777" w:rsidR="003D7AFC" w:rsidRPr="00E519DB" w:rsidRDefault="00DC7008" w:rsidP="00596F35">
      <w:pPr>
        <w:spacing w:line="240" w:lineRule="auto"/>
        <w:contextualSpacing/>
        <w:rPr>
          <w:rFonts w:ascii="Times New Roman" w:hAnsi="Times New Roman" w:cs="Times New Roman"/>
          <w:color w:val="403152" w:themeColor="accent4" w:themeShade="80"/>
          <w:sz w:val="24"/>
          <w:szCs w:val="24"/>
        </w:rPr>
      </w:pPr>
      <w:r>
        <w:rPr>
          <w:rFonts w:ascii="Times New Roman" w:hAnsi="Times New Roman" w:cs="Times New Roman"/>
          <w:color w:val="403152" w:themeColor="accent4" w:themeShade="80"/>
          <w:sz w:val="24"/>
          <w:szCs w:val="24"/>
        </w:rPr>
        <w:t>OGS TV, Inc</w:t>
      </w:r>
      <w:r w:rsidR="003D7AFC" w:rsidRPr="00E519DB">
        <w:rPr>
          <w:rFonts w:ascii="Times New Roman" w:hAnsi="Times New Roman" w:cs="Times New Roman"/>
          <w:color w:val="403152" w:themeColor="accent4" w:themeShade="80"/>
          <w:sz w:val="24"/>
          <w:szCs w:val="24"/>
        </w:rPr>
        <w:t>.,</w:t>
      </w:r>
      <w:r>
        <w:rPr>
          <w:rFonts w:ascii="Times New Roman" w:hAnsi="Times New Roman" w:cs="Times New Roman"/>
          <w:color w:val="403152" w:themeColor="accent4" w:themeShade="80"/>
          <w:sz w:val="24"/>
          <w:szCs w:val="24"/>
        </w:rPr>
        <w:tab/>
      </w:r>
      <w:r w:rsidR="003D7AFC" w:rsidRPr="00E519DB">
        <w:rPr>
          <w:rFonts w:ascii="Times New Roman" w:hAnsi="Times New Roman" w:cs="Times New Roman"/>
          <w:color w:val="403152" w:themeColor="accent4" w:themeShade="80"/>
          <w:sz w:val="24"/>
          <w:szCs w:val="24"/>
        </w:rPr>
        <w:tab/>
      </w:r>
      <w:r w:rsidR="003D7AFC" w:rsidRPr="00E519DB">
        <w:rPr>
          <w:rFonts w:ascii="Times New Roman" w:hAnsi="Times New Roman" w:cs="Times New Roman"/>
          <w:color w:val="403152" w:themeColor="accent4" w:themeShade="80"/>
          <w:sz w:val="24"/>
          <w:szCs w:val="24"/>
        </w:rPr>
        <w:tab/>
      </w:r>
      <w:r w:rsidR="003D7AFC" w:rsidRPr="00E519DB">
        <w:rPr>
          <w:rFonts w:ascii="Times New Roman" w:hAnsi="Times New Roman" w:cs="Times New Roman"/>
          <w:color w:val="403152" w:themeColor="accent4" w:themeShade="80"/>
          <w:sz w:val="24"/>
          <w:szCs w:val="24"/>
        </w:rPr>
        <w:tab/>
      </w:r>
      <w:r w:rsidR="003D7AFC" w:rsidRPr="00E519DB">
        <w:rPr>
          <w:rFonts w:ascii="Times New Roman" w:hAnsi="Times New Roman" w:cs="Times New Roman"/>
          <w:color w:val="403152" w:themeColor="accent4" w:themeShade="80"/>
          <w:sz w:val="24"/>
          <w:szCs w:val="24"/>
        </w:rPr>
        <w:tab/>
      </w:r>
      <w:r w:rsidR="003D7AFC" w:rsidRPr="00E519DB">
        <w:rPr>
          <w:rFonts w:ascii="Times New Roman" w:hAnsi="Times New Roman" w:cs="Times New Roman"/>
          <w:color w:val="403152" w:themeColor="accent4" w:themeShade="80"/>
          <w:sz w:val="24"/>
          <w:szCs w:val="24"/>
        </w:rPr>
        <w:tab/>
      </w:r>
      <w:r w:rsidR="003D7AFC" w:rsidRPr="00E519DB">
        <w:rPr>
          <w:rFonts w:ascii="Times New Roman" w:hAnsi="Times New Roman" w:cs="Times New Roman"/>
          <w:color w:val="403152" w:themeColor="accent4" w:themeShade="80"/>
          <w:sz w:val="24"/>
          <w:szCs w:val="24"/>
        </w:rPr>
        <w:tab/>
      </w:r>
      <w:r w:rsidR="006242B9" w:rsidRPr="00E519DB">
        <w:rPr>
          <w:rFonts w:ascii="Times New Roman" w:hAnsi="Times New Roman" w:cs="Times New Roman"/>
          <w:color w:val="403152" w:themeColor="accent4" w:themeShade="80"/>
          <w:sz w:val="24"/>
          <w:szCs w:val="24"/>
        </w:rPr>
        <w:t>Court File No. 27-CV-12-1234</w:t>
      </w:r>
    </w:p>
    <w:p w14:paraId="6A449636" w14:textId="77777777" w:rsidR="006242B9" w:rsidRPr="00E519DB" w:rsidRDefault="006242B9" w:rsidP="00596F35">
      <w:pPr>
        <w:spacing w:line="240" w:lineRule="auto"/>
        <w:contextualSpacing/>
        <w:rPr>
          <w:rFonts w:ascii="Times New Roman" w:hAnsi="Times New Roman" w:cs="Times New Roman"/>
          <w:color w:val="403152" w:themeColor="accent4" w:themeShade="80"/>
          <w:sz w:val="24"/>
          <w:szCs w:val="24"/>
        </w:rPr>
      </w:pPr>
    </w:p>
    <w:p w14:paraId="64437466" w14:textId="77777777" w:rsidR="003D7AFC" w:rsidRPr="00E519DB" w:rsidRDefault="003D7AFC" w:rsidP="00596F35">
      <w:pPr>
        <w:spacing w:line="240" w:lineRule="auto"/>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t>Plaintiff,</w:t>
      </w:r>
    </w:p>
    <w:p w14:paraId="0AD564A5" w14:textId="77777777" w:rsidR="003D7AFC" w:rsidRPr="00E519DB" w:rsidRDefault="006242B9" w:rsidP="00596F35">
      <w:pPr>
        <w:spacing w:line="240" w:lineRule="auto"/>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t>PLAINTIFF’S MEMORANDUM</w:t>
      </w:r>
    </w:p>
    <w:p w14:paraId="3782BD86" w14:textId="77777777" w:rsidR="003D7AFC" w:rsidRPr="00E519DB" w:rsidRDefault="003D7AFC" w:rsidP="00596F35">
      <w:pPr>
        <w:spacing w:line="240" w:lineRule="auto"/>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v.</w:t>
      </w:r>
      <w:r w:rsidR="006242B9" w:rsidRPr="00E519DB">
        <w:rPr>
          <w:rFonts w:ascii="Times New Roman" w:hAnsi="Times New Roman" w:cs="Times New Roman"/>
          <w:color w:val="403152" w:themeColor="accent4" w:themeShade="80"/>
          <w:sz w:val="24"/>
          <w:szCs w:val="24"/>
        </w:rPr>
        <w:tab/>
      </w:r>
      <w:r w:rsidR="006242B9" w:rsidRPr="00E519DB">
        <w:rPr>
          <w:rFonts w:ascii="Times New Roman" w:hAnsi="Times New Roman" w:cs="Times New Roman"/>
          <w:color w:val="403152" w:themeColor="accent4" w:themeShade="80"/>
          <w:sz w:val="24"/>
          <w:szCs w:val="24"/>
        </w:rPr>
        <w:tab/>
      </w:r>
      <w:r w:rsidR="006242B9" w:rsidRPr="00E519DB">
        <w:rPr>
          <w:rFonts w:ascii="Times New Roman" w:hAnsi="Times New Roman" w:cs="Times New Roman"/>
          <w:color w:val="403152" w:themeColor="accent4" w:themeShade="80"/>
          <w:sz w:val="24"/>
          <w:szCs w:val="24"/>
        </w:rPr>
        <w:tab/>
      </w:r>
      <w:r w:rsidR="006242B9" w:rsidRPr="00E519DB">
        <w:rPr>
          <w:rFonts w:ascii="Times New Roman" w:hAnsi="Times New Roman" w:cs="Times New Roman"/>
          <w:color w:val="403152" w:themeColor="accent4" w:themeShade="80"/>
          <w:sz w:val="24"/>
          <w:szCs w:val="24"/>
        </w:rPr>
        <w:tab/>
      </w:r>
      <w:r w:rsidR="006242B9" w:rsidRPr="00E519DB">
        <w:rPr>
          <w:rFonts w:ascii="Times New Roman" w:hAnsi="Times New Roman" w:cs="Times New Roman"/>
          <w:color w:val="403152" w:themeColor="accent4" w:themeShade="80"/>
          <w:sz w:val="24"/>
          <w:szCs w:val="24"/>
        </w:rPr>
        <w:tab/>
      </w:r>
      <w:r w:rsidR="006242B9" w:rsidRPr="00E519DB">
        <w:rPr>
          <w:rFonts w:ascii="Times New Roman" w:hAnsi="Times New Roman" w:cs="Times New Roman"/>
          <w:color w:val="403152" w:themeColor="accent4" w:themeShade="80"/>
          <w:sz w:val="24"/>
          <w:szCs w:val="24"/>
        </w:rPr>
        <w:tab/>
      </w:r>
      <w:r w:rsidR="006242B9" w:rsidRPr="00E519DB">
        <w:rPr>
          <w:rFonts w:ascii="Times New Roman" w:hAnsi="Times New Roman" w:cs="Times New Roman"/>
          <w:color w:val="403152" w:themeColor="accent4" w:themeShade="80"/>
          <w:sz w:val="24"/>
          <w:szCs w:val="24"/>
        </w:rPr>
        <w:tab/>
      </w:r>
      <w:r w:rsidR="006242B9" w:rsidRPr="00E519DB">
        <w:rPr>
          <w:rFonts w:ascii="Times New Roman" w:hAnsi="Times New Roman" w:cs="Times New Roman"/>
          <w:color w:val="403152" w:themeColor="accent4" w:themeShade="80"/>
          <w:sz w:val="24"/>
          <w:szCs w:val="24"/>
        </w:rPr>
        <w:tab/>
        <w:t xml:space="preserve">IN </w:t>
      </w:r>
      <w:r w:rsidR="00E20A35" w:rsidRPr="00E519DB">
        <w:rPr>
          <w:rFonts w:ascii="Times New Roman" w:hAnsi="Times New Roman" w:cs="Times New Roman"/>
          <w:color w:val="403152" w:themeColor="accent4" w:themeShade="80"/>
          <w:sz w:val="24"/>
          <w:szCs w:val="24"/>
        </w:rPr>
        <w:t>OPPOSITION TO</w:t>
      </w:r>
    </w:p>
    <w:p w14:paraId="2DAD7E45" w14:textId="77777777" w:rsidR="003D7AFC" w:rsidRPr="00E519DB" w:rsidRDefault="006242B9" w:rsidP="00596F35">
      <w:pPr>
        <w:spacing w:line="240" w:lineRule="auto"/>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00E20A35" w:rsidRPr="00E519DB">
        <w:rPr>
          <w:rFonts w:ascii="Times New Roman" w:hAnsi="Times New Roman" w:cs="Times New Roman"/>
          <w:color w:val="403152" w:themeColor="accent4" w:themeShade="80"/>
          <w:sz w:val="24"/>
          <w:szCs w:val="24"/>
        </w:rPr>
        <w:t>DEFENDANTS’</w:t>
      </w:r>
    </w:p>
    <w:p w14:paraId="73D1E691" w14:textId="77777777" w:rsidR="006242B9" w:rsidRPr="00E519DB" w:rsidRDefault="003D7AFC" w:rsidP="00596F35">
      <w:pPr>
        <w:spacing w:line="240" w:lineRule="auto"/>
        <w:ind w:left="5760" w:hanging="5760"/>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 xml:space="preserve">Elizabeth Lime, and </w:t>
      </w:r>
      <w:proofErr w:type="spellStart"/>
      <w:r w:rsidRPr="00E519DB">
        <w:rPr>
          <w:rFonts w:ascii="Times New Roman" w:hAnsi="Times New Roman" w:cs="Times New Roman"/>
          <w:color w:val="403152" w:themeColor="accent4" w:themeShade="80"/>
          <w:sz w:val="24"/>
          <w:szCs w:val="24"/>
        </w:rPr>
        <w:t>TinyTV</w:t>
      </w:r>
      <w:proofErr w:type="spellEnd"/>
      <w:r w:rsidRPr="00E519DB">
        <w:rPr>
          <w:rFonts w:ascii="Times New Roman" w:hAnsi="Times New Roman" w:cs="Times New Roman"/>
          <w:color w:val="403152" w:themeColor="accent4" w:themeShade="80"/>
          <w:sz w:val="24"/>
          <w:szCs w:val="24"/>
        </w:rPr>
        <w:t>, Inc.,</w:t>
      </w:r>
      <w:r w:rsidR="006242B9" w:rsidRPr="00E519DB">
        <w:rPr>
          <w:rFonts w:ascii="Times New Roman" w:hAnsi="Times New Roman" w:cs="Times New Roman"/>
          <w:color w:val="403152" w:themeColor="accent4" w:themeShade="80"/>
          <w:sz w:val="24"/>
          <w:szCs w:val="24"/>
        </w:rPr>
        <w:tab/>
      </w:r>
      <w:r w:rsidR="00E20A35" w:rsidRPr="00E519DB">
        <w:rPr>
          <w:rFonts w:ascii="Times New Roman" w:hAnsi="Times New Roman" w:cs="Times New Roman"/>
          <w:color w:val="403152" w:themeColor="accent4" w:themeShade="80"/>
          <w:sz w:val="24"/>
          <w:szCs w:val="24"/>
        </w:rPr>
        <w:t xml:space="preserve">MOTION </w:t>
      </w:r>
      <w:r w:rsidR="00901CD4">
        <w:rPr>
          <w:rFonts w:ascii="Times New Roman" w:hAnsi="Times New Roman" w:cs="Times New Roman"/>
          <w:color w:val="403152" w:themeColor="accent4" w:themeShade="80"/>
          <w:sz w:val="24"/>
          <w:szCs w:val="24"/>
        </w:rPr>
        <w:t>FOR JUDGMENT ON THE PLEADINGS</w:t>
      </w:r>
    </w:p>
    <w:p w14:paraId="56875025" w14:textId="77777777" w:rsidR="00E20A35" w:rsidRPr="00E519DB" w:rsidRDefault="00E20A35" w:rsidP="00596F35">
      <w:pPr>
        <w:spacing w:line="240" w:lineRule="auto"/>
        <w:ind w:left="5760" w:hanging="5760"/>
        <w:contextualSpacing/>
        <w:rPr>
          <w:rFonts w:ascii="Times New Roman" w:hAnsi="Times New Roman" w:cs="Times New Roman"/>
          <w:color w:val="403152" w:themeColor="accent4" w:themeShade="80"/>
          <w:sz w:val="24"/>
          <w:szCs w:val="24"/>
        </w:rPr>
      </w:pPr>
    </w:p>
    <w:p w14:paraId="201A84DE" w14:textId="77777777" w:rsidR="003D7AFC" w:rsidRPr="00E519DB" w:rsidRDefault="003D7AFC" w:rsidP="00596F35">
      <w:pPr>
        <w:pBdr>
          <w:bottom w:val="single" w:sz="6" w:space="1" w:color="auto"/>
        </w:pBdr>
        <w:spacing w:line="240" w:lineRule="auto"/>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t>Defendants.</w:t>
      </w:r>
    </w:p>
    <w:p w14:paraId="346801EE" w14:textId="77777777" w:rsidR="00545E0D" w:rsidRPr="00E519DB" w:rsidRDefault="00545E0D" w:rsidP="00596F35">
      <w:pPr>
        <w:pBdr>
          <w:bottom w:val="single" w:sz="6" w:space="1" w:color="auto"/>
        </w:pBdr>
        <w:spacing w:line="240" w:lineRule="auto"/>
        <w:contextualSpacing/>
        <w:rPr>
          <w:rFonts w:ascii="Times New Roman" w:hAnsi="Times New Roman" w:cs="Times New Roman"/>
          <w:color w:val="403152" w:themeColor="accent4" w:themeShade="80"/>
          <w:sz w:val="24"/>
          <w:szCs w:val="24"/>
        </w:rPr>
      </w:pPr>
    </w:p>
    <w:p w14:paraId="151ED3AA" w14:textId="77777777" w:rsidR="00545E0D" w:rsidRPr="00E519DB" w:rsidRDefault="00545E0D" w:rsidP="00596F35">
      <w:pPr>
        <w:spacing w:line="240" w:lineRule="auto"/>
        <w:contextualSpacing/>
        <w:jc w:val="center"/>
        <w:rPr>
          <w:rFonts w:ascii="Times New Roman" w:hAnsi="Times New Roman" w:cs="Times New Roman"/>
          <w:b/>
          <w:color w:val="403152" w:themeColor="accent4" w:themeShade="80"/>
          <w:sz w:val="24"/>
          <w:szCs w:val="24"/>
        </w:rPr>
      </w:pPr>
    </w:p>
    <w:p w14:paraId="5AAAF02E" w14:textId="77777777" w:rsidR="00545E0D" w:rsidRPr="00E519DB" w:rsidRDefault="00545E0D" w:rsidP="00596F35">
      <w:pPr>
        <w:spacing w:line="480" w:lineRule="auto"/>
        <w:contextualSpacing/>
        <w:jc w:val="center"/>
        <w:rPr>
          <w:rFonts w:ascii="Times New Roman" w:hAnsi="Times New Roman" w:cs="Times New Roman"/>
          <w:b/>
          <w:color w:val="403152" w:themeColor="accent4" w:themeShade="80"/>
          <w:sz w:val="24"/>
          <w:szCs w:val="24"/>
          <w:u w:val="single"/>
        </w:rPr>
      </w:pPr>
      <w:r w:rsidRPr="00E519DB">
        <w:rPr>
          <w:rFonts w:ascii="Times New Roman" w:hAnsi="Times New Roman" w:cs="Times New Roman"/>
          <w:b/>
          <w:color w:val="403152" w:themeColor="accent4" w:themeShade="80"/>
          <w:sz w:val="24"/>
          <w:szCs w:val="24"/>
          <w:u w:val="single"/>
        </w:rPr>
        <w:t>INTRODUCTION</w:t>
      </w:r>
    </w:p>
    <w:p w14:paraId="6ACD033A" w14:textId="77777777" w:rsidR="008E33E6" w:rsidRPr="00176EF1" w:rsidRDefault="00A32FA8" w:rsidP="00596F35">
      <w:pPr>
        <w:spacing w:line="480" w:lineRule="auto"/>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ab/>
      </w:r>
      <w:r w:rsidR="00FE66BB" w:rsidRPr="00E519DB">
        <w:rPr>
          <w:rFonts w:ascii="Times New Roman" w:hAnsi="Times New Roman" w:cs="Times New Roman"/>
          <w:color w:val="403152" w:themeColor="accent4" w:themeShade="80"/>
          <w:sz w:val="24"/>
          <w:szCs w:val="24"/>
        </w:rPr>
        <w:t>Plaintiff OGS TV, Inc.</w:t>
      </w:r>
      <w:r w:rsidR="00DC7008">
        <w:rPr>
          <w:rFonts w:ascii="Times New Roman" w:hAnsi="Times New Roman" w:cs="Times New Roman"/>
          <w:color w:val="403152" w:themeColor="accent4" w:themeShade="80"/>
          <w:sz w:val="24"/>
          <w:szCs w:val="24"/>
        </w:rPr>
        <w:t xml:space="preserve"> (“</w:t>
      </w:r>
      <w:r w:rsidR="00AE0F54">
        <w:rPr>
          <w:rFonts w:ascii="Times New Roman" w:hAnsi="Times New Roman" w:cs="Times New Roman"/>
          <w:color w:val="403152" w:themeColor="accent4" w:themeShade="80"/>
          <w:sz w:val="24"/>
          <w:szCs w:val="24"/>
        </w:rPr>
        <w:t>OGS</w:t>
      </w:r>
      <w:r w:rsidR="00DC7008">
        <w:rPr>
          <w:rFonts w:ascii="Times New Roman" w:hAnsi="Times New Roman" w:cs="Times New Roman"/>
          <w:color w:val="403152" w:themeColor="accent4" w:themeShade="80"/>
          <w:sz w:val="24"/>
          <w:szCs w:val="24"/>
        </w:rPr>
        <w:t>”)</w:t>
      </w:r>
      <w:r w:rsidR="00FE66BB" w:rsidRPr="00E519DB">
        <w:rPr>
          <w:rFonts w:ascii="Times New Roman" w:hAnsi="Times New Roman" w:cs="Times New Roman"/>
          <w:color w:val="403152" w:themeColor="accent4" w:themeShade="80"/>
          <w:sz w:val="24"/>
          <w:szCs w:val="24"/>
        </w:rPr>
        <w:t xml:space="preserve"> submits t</w:t>
      </w:r>
      <w:r w:rsidR="006A5997" w:rsidRPr="00E519DB">
        <w:rPr>
          <w:rFonts w:ascii="Times New Roman" w:hAnsi="Times New Roman" w:cs="Times New Roman"/>
          <w:color w:val="403152" w:themeColor="accent4" w:themeShade="80"/>
          <w:sz w:val="24"/>
          <w:szCs w:val="24"/>
        </w:rPr>
        <w:t xml:space="preserve">his </w:t>
      </w:r>
      <w:r w:rsidR="00E20A35" w:rsidRPr="00E519DB">
        <w:rPr>
          <w:rFonts w:ascii="Times New Roman" w:hAnsi="Times New Roman" w:cs="Times New Roman"/>
          <w:color w:val="403152" w:themeColor="accent4" w:themeShade="80"/>
          <w:sz w:val="24"/>
          <w:szCs w:val="24"/>
        </w:rPr>
        <w:t>m</w:t>
      </w:r>
      <w:r w:rsidR="006A5997" w:rsidRPr="00E519DB">
        <w:rPr>
          <w:rFonts w:ascii="Times New Roman" w:hAnsi="Times New Roman" w:cs="Times New Roman"/>
          <w:color w:val="403152" w:themeColor="accent4" w:themeShade="80"/>
          <w:sz w:val="24"/>
          <w:szCs w:val="24"/>
        </w:rPr>
        <w:t>emora</w:t>
      </w:r>
      <w:r w:rsidRPr="00E519DB">
        <w:rPr>
          <w:rFonts w:ascii="Times New Roman" w:hAnsi="Times New Roman" w:cs="Times New Roman"/>
          <w:color w:val="403152" w:themeColor="accent4" w:themeShade="80"/>
          <w:sz w:val="24"/>
          <w:szCs w:val="24"/>
        </w:rPr>
        <w:t xml:space="preserve">ndum in </w:t>
      </w:r>
      <w:r w:rsidR="00E20A35" w:rsidRPr="00E519DB">
        <w:rPr>
          <w:rFonts w:ascii="Times New Roman" w:hAnsi="Times New Roman" w:cs="Times New Roman"/>
          <w:color w:val="403152" w:themeColor="accent4" w:themeShade="80"/>
          <w:sz w:val="24"/>
          <w:szCs w:val="24"/>
        </w:rPr>
        <w:t xml:space="preserve">opposition to </w:t>
      </w:r>
      <w:r w:rsidR="00DC7AD6">
        <w:rPr>
          <w:rFonts w:ascii="Times New Roman" w:hAnsi="Times New Roman" w:cs="Times New Roman"/>
          <w:color w:val="403152" w:themeColor="accent4" w:themeShade="80"/>
          <w:sz w:val="24"/>
          <w:szCs w:val="24"/>
        </w:rPr>
        <w:t xml:space="preserve">the motion </w:t>
      </w:r>
      <w:r w:rsidR="00DC7008">
        <w:rPr>
          <w:rFonts w:ascii="Times New Roman" w:hAnsi="Times New Roman" w:cs="Times New Roman"/>
          <w:color w:val="403152" w:themeColor="accent4" w:themeShade="80"/>
          <w:sz w:val="24"/>
          <w:szCs w:val="24"/>
        </w:rPr>
        <w:t>for judgment on the pleadings</w:t>
      </w:r>
      <w:r w:rsidR="00605A7B" w:rsidRPr="00E519DB">
        <w:rPr>
          <w:rFonts w:ascii="Times New Roman" w:hAnsi="Times New Roman" w:cs="Times New Roman"/>
          <w:color w:val="403152" w:themeColor="accent4" w:themeShade="80"/>
          <w:sz w:val="24"/>
          <w:szCs w:val="24"/>
        </w:rPr>
        <w:t xml:space="preserve"> filed by </w:t>
      </w:r>
      <w:r w:rsidR="00DC7008">
        <w:rPr>
          <w:rFonts w:ascii="Times New Roman" w:hAnsi="Times New Roman" w:cs="Times New Roman"/>
          <w:color w:val="403152" w:themeColor="accent4" w:themeShade="80"/>
          <w:sz w:val="24"/>
          <w:szCs w:val="24"/>
        </w:rPr>
        <w:t xml:space="preserve">Defendants </w:t>
      </w:r>
      <w:r w:rsidR="00DC7AD6">
        <w:rPr>
          <w:rFonts w:ascii="Times New Roman" w:hAnsi="Times New Roman" w:cs="Times New Roman"/>
          <w:color w:val="403152" w:themeColor="accent4" w:themeShade="80"/>
          <w:sz w:val="24"/>
          <w:szCs w:val="24"/>
        </w:rPr>
        <w:t>Elizabeth Lime</w:t>
      </w:r>
      <w:r w:rsidR="00AE0F54">
        <w:rPr>
          <w:rFonts w:ascii="Times New Roman" w:hAnsi="Times New Roman" w:cs="Times New Roman"/>
          <w:color w:val="403152" w:themeColor="accent4" w:themeShade="80"/>
          <w:sz w:val="24"/>
          <w:szCs w:val="24"/>
        </w:rPr>
        <w:t xml:space="preserve"> (“Lime”)</w:t>
      </w:r>
      <w:r w:rsidR="00DC7AD6">
        <w:rPr>
          <w:rFonts w:ascii="Times New Roman" w:hAnsi="Times New Roman" w:cs="Times New Roman"/>
          <w:color w:val="403152" w:themeColor="accent4" w:themeShade="80"/>
          <w:sz w:val="24"/>
          <w:szCs w:val="24"/>
        </w:rPr>
        <w:t xml:space="preserve"> and </w:t>
      </w:r>
      <w:proofErr w:type="spellStart"/>
      <w:r w:rsidR="00DC7AD6">
        <w:rPr>
          <w:rFonts w:ascii="Times New Roman" w:hAnsi="Times New Roman" w:cs="Times New Roman"/>
          <w:color w:val="403152" w:themeColor="accent4" w:themeShade="80"/>
          <w:sz w:val="24"/>
          <w:szCs w:val="24"/>
        </w:rPr>
        <w:t>TinyTV</w:t>
      </w:r>
      <w:proofErr w:type="spellEnd"/>
      <w:r w:rsidR="00DC7AD6">
        <w:rPr>
          <w:rFonts w:ascii="Times New Roman" w:hAnsi="Times New Roman" w:cs="Times New Roman"/>
          <w:color w:val="403152" w:themeColor="accent4" w:themeShade="80"/>
          <w:sz w:val="24"/>
          <w:szCs w:val="24"/>
        </w:rPr>
        <w:t xml:space="preserve">, Inc. </w:t>
      </w:r>
      <w:r w:rsidR="00AE0F54">
        <w:rPr>
          <w:rFonts w:ascii="Times New Roman" w:hAnsi="Times New Roman" w:cs="Times New Roman"/>
          <w:color w:val="403152" w:themeColor="accent4" w:themeShade="80"/>
          <w:sz w:val="24"/>
          <w:szCs w:val="24"/>
        </w:rPr>
        <w:t>(“</w:t>
      </w:r>
      <w:r w:rsidR="003C3B44">
        <w:rPr>
          <w:rFonts w:ascii="Times New Roman" w:hAnsi="Times New Roman" w:cs="Times New Roman"/>
          <w:color w:val="403152" w:themeColor="accent4" w:themeShade="80"/>
          <w:sz w:val="24"/>
          <w:szCs w:val="24"/>
        </w:rPr>
        <w:t>TTV</w:t>
      </w:r>
      <w:r w:rsidR="00AE0F54">
        <w:rPr>
          <w:rFonts w:ascii="Times New Roman" w:hAnsi="Times New Roman" w:cs="Times New Roman"/>
          <w:color w:val="403152" w:themeColor="accent4" w:themeShade="80"/>
          <w:sz w:val="24"/>
          <w:szCs w:val="24"/>
        </w:rPr>
        <w:t>”) (collectively “Defendants”)</w:t>
      </w:r>
      <w:r w:rsidR="00DC7AD6">
        <w:rPr>
          <w:rFonts w:ascii="Times New Roman" w:hAnsi="Times New Roman" w:cs="Times New Roman"/>
          <w:color w:val="403152" w:themeColor="accent4" w:themeShade="80"/>
          <w:sz w:val="24"/>
          <w:szCs w:val="24"/>
        </w:rPr>
        <w:t xml:space="preserve">. </w:t>
      </w:r>
      <w:r w:rsidR="00605A7B" w:rsidRPr="00E519DB">
        <w:rPr>
          <w:rFonts w:ascii="Times New Roman" w:hAnsi="Times New Roman" w:cs="Times New Roman"/>
          <w:color w:val="403152" w:themeColor="accent4" w:themeShade="80"/>
          <w:sz w:val="24"/>
          <w:szCs w:val="24"/>
        </w:rPr>
        <w:t>Defendants violated the federal Copyright Act of 1976,</w:t>
      </w:r>
      <w:bookmarkStart w:id="1" w:name="CITRUS_BOOKMARK1000000001"/>
      <w:r w:rsidR="002912A0">
        <w:rPr>
          <w:rFonts w:ascii="Times New Roman" w:hAnsi="Times New Roman" w:cs="Times New Roman"/>
          <w:color w:val="403152" w:themeColor="accent4" w:themeShade="80"/>
          <w:sz w:val="24"/>
          <w:szCs w:val="24"/>
        </w:rPr>
        <w:t>17 U.S.C. § 101</w:t>
      </w:r>
      <w:r w:rsidR="00A77C8F">
        <w:rPr>
          <w:rFonts w:ascii="Times New Roman" w:hAnsi="Times New Roman" w:cs="Times New Roman"/>
          <w:color w:val="403152" w:themeColor="accent4" w:themeShade="80"/>
          <w:sz w:val="24"/>
          <w:szCs w:val="24"/>
        </w:rPr>
        <w:t xml:space="preserve"> </w:t>
      </w:r>
      <w:r w:rsidR="00605A7B" w:rsidRPr="00E519DB">
        <w:rPr>
          <w:rFonts w:ascii="Times New Roman" w:hAnsi="Times New Roman" w:cs="Times New Roman"/>
          <w:color w:val="403152" w:themeColor="accent4" w:themeShade="80"/>
          <w:sz w:val="24"/>
          <w:szCs w:val="24"/>
        </w:rPr>
        <w:t xml:space="preserve"> et seq. (</w:t>
      </w:r>
      <w:r w:rsidR="00DC7008">
        <w:rPr>
          <w:rFonts w:ascii="Times New Roman" w:hAnsi="Times New Roman" w:cs="Times New Roman"/>
          <w:color w:val="403152" w:themeColor="accent4" w:themeShade="80"/>
          <w:sz w:val="24"/>
          <w:szCs w:val="24"/>
        </w:rPr>
        <w:t xml:space="preserve">“the </w:t>
      </w:r>
      <w:r w:rsidR="000547BB">
        <w:rPr>
          <w:rFonts w:ascii="Times New Roman" w:hAnsi="Times New Roman" w:cs="Times New Roman"/>
          <w:color w:val="403152" w:themeColor="accent4" w:themeShade="80"/>
          <w:sz w:val="24"/>
          <w:szCs w:val="24"/>
        </w:rPr>
        <w:t xml:space="preserve">Copyright </w:t>
      </w:r>
      <w:r w:rsidR="00605A7B" w:rsidRPr="00E519DB">
        <w:rPr>
          <w:rFonts w:ascii="Times New Roman" w:hAnsi="Times New Roman" w:cs="Times New Roman"/>
          <w:color w:val="403152" w:themeColor="accent4" w:themeShade="80"/>
          <w:sz w:val="24"/>
          <w:szCs w:val="24"/>
        </w:rPr>
        <w:t>Act”)</w:t>
      </w:r>
      <w:bookmarkEnd w:id="1"/>
      <w:r w:rsidR="00DC7008">
        <w:rPr>
          <w:rFonts w:ascii="Times New Roman" w:hAnsi="Times New Roman" w:cs="Times New Roman"/>
          <w:color w:val="403152" w:themeColor="accent4" w:themeShade="80"/>
          <w:sz w:val="24"/>
          <w:szCs w:val="24"/>
        </w:rPr>
        <w:t>,</w:t>
      </w:r>
      <w:r w:rsidR="00605A7B" w:rsidRPr="00E519DB">
        <w:rPr>
          <w:rFonts w:ascii="Times New Roman" w:hAnsi="Times New Roman" w:cs="Times New Roman"/>
          <w:color w:val="403152" w:themeColor="accent4" w:themeShade="80"/>
          <w:sz w:val="24"/>
          <w:szCs w:val="24"/>
        </w:rPr>
        <w:t xml:space="preserve"> by </w:t>
      </w:r>
      <w:r w:rsidR="00BC26A3" w:rsidRPr="00E519DB">
        <w:rPr>
          <w:rFonts w:ascii="Times New Roman" w:hAnsi="Times New Roman" w:cs="Times New Roman"/>
          <w:color w:val="403152" w:themeColor="accent4" w:themeShade="80"/>
          <w:sz w:val="24"/>
          <w:szCs w:val="24"/>
        </w:rPr>
        <w:t>producing and performing the screenplay entitled “The Love Below,” in</w:t>
      </w:r>
      <w:r w:rsidR="00605A7B" w:rsidRPr="00E519DB">
        <w:rPr>
          <w:rFonts w:ascii="Times New Roman" w:hAnsi="Times New Roman" w:cs="Times New Roman"/>
          <w:color w:val="403152" w:themeColor="accent4" w:themeShade="80"/>
          <w:sz w:val="24"/>
          <w:szCs w:val="24"/>
        </w:rPr>
        <w:t xml:space="preserve">fringing </w:t>
      </w:r>
      <w:r w:rsidR="00AE0F54">
        <w:rPr>
          <w:rFonts w:ascii="Times New Roman" w:hAnsi="Times New Roman" w:cs="Times New Roman"/>
          <w:color w:val="403152" w:themeColor="accent4" w:themeShade="80"/>
          <w:sz w:val="24"/>
          <w:szCs w:val="24"/>
        </w:rPr>
        <w:t>OGS</w:t>
      </w:r>
      <w:r w:rsidR="00605A7B" w:rsidRPr="00E519DB">
        <w:rPr>
          <w:rFonts w:ascii="Times New Roman" w:hAnsi="Times New Roman" w:cs="Times New Roman"/>
          <w:color w:val="403152" w:themeColor="accent4" w:themeShade="80"/>
          <w:sz w:val="24"/>
          <w:szCs w:val="24"/>
        </w:rPr>
        <w:t>’s copyright</w:t>
      </w:r>
      <w:r w:rsidR="00FD08A7" w:rsidRPr="00E519DB">
        <w:rPr>
          <w:rFonts w:ascii="Times New Roman" w:hAnsi="Times New Roman" w:cs="Times New Roman"/>
          <w:color w:val="403152" w:themeColor="accent4" w:themeShade="80"/>
          <w:sz w:val="24"/>
          <w:szCs w:val="24"/>
        </w:rPr>
        <w:t>.</w:t>
      </w:r>
      <w:r w:rsidR="00BC26A3" w:rsidRPr="00E519DB">
        <w:rPr>
          <w:rFonts w:ascii="Times New Roman" w:hAnsi="Times New Roman" w:cs="Times New Roman"/>
          <w:color w:val="403152" w:themeColor="accent4" w:themeShade="80"/>
          <w:sz w:val="24"/>
          <w:szCs w:val="24"/>
        </w:rPr>
        <w:t xml:space="preserve"> Defendants </w:t>
      </w:r>
      <w:r w:rsidR="001162FA" w:rsidRPr="00E519DB">
        <w:rPr>
          <w:rFonts w:ascii="Times New Roman" w:hAnsi="Times New Roman" w:cs="Times New Roman"/>
          <w:color w:val="403152" w:themeColor="accent4" w:themeShade="80"/>
          <w:sz w:val="24"/>
          <w:szCs w:val="24"/>
        </w:rPr>
        <w:t>seek to dismiss this case, claiming</w:t>
      </w:r>
      <w:r w:rsidR="008E33E6" w:rsidRPr="00E519DB">
        <w:rPr>
          <w:rFonts w:ascii="Times New Roman" w:hAnsi="Times New Roman" w:cs="Times New Roman"/>
          <w:color w:val="403152" w:themeColor="accent4" w:themeShade="80"/>
          <w:sz w:val="24"/>
          <w:szCs w:val="24"/>
        </w:rPr>
        <w:t xml:space="preserve"> that </w:t>
      </w:r>
      <w:r w:rsidR="00AE0F54">
        <w:rPr>
          <w:rFonts w:ascii="Times New Roman" w:hAnsi="Times New Roman" w:cs="Times New Roman"/>
          <w:color w:val="403152" w:themeColor="accent4" w:themeShade="80"/>
          <w:sz w:val="24"/>
          <w:szCs w:val="24"/>
        </w:rPr>
        <w:t>OGS</w:t>
      </w:r>
      <w:r w:rsidR="008E33E6" w:rsidRPr="00E519DB">
        <w:rPr>
          <w:rFonts w:ascii="Times New Roman" w:hAnsi="Times New Roman" w:cs="Times New Roman"/>
          <w:color w:val="403152" w:themeColor="accent4" w:themeShade="80"/>
          <w:sz w:val="24"/>
          <w:szCs w:val="24"/>
        </w:rPr>
        <w:t xml:space="preserve"> did </w:t>
      </w:r>
      <w:r w:rsidR="008E33E6" w:rsidRPr="00176EF1">
        <w:rPr>
          <w:rFonts w:ascii="Times New Roman" w:hAnsi="Times New Roman" w:cs="Times New Roman"/>
          <w:color w:val="403152" w:themeColor="accent4" w:themeShade="80"/>
          <w:sz w:val="24"/>
          <w:szCs w:val="24"/>
        </w:rPr>
        <w:t>not own</w:t>
      </w:r>
      <w:r w:rsidR="003676BA" w:rsidRPr="00176EF1">
        <w:rPr>
          <w:rFonts w:ascii="Times New Roman" w:hAnsi="Times New Roman" w:cs="Times New Roman"/>
          <w:color w:val="403152" w:themeColor="accent4" w:themeShade="80"/>
          <w:sz w:val="24"/>
          <w:szCs w:val="24"/>
        </w:rPr>
        <w:t xml:space="preserve"> the copyright to the screenplay</w:t>
      </w:r>
      <w:r w:rsidR="003C3B44" w:rsidRPr="00176EF1">
        <w:rPr>
          <w:rFonts w:ascii="Times New Roman" w:hAnsi="Times New Roman" w:cs="Times New Roman"/>
          <w:color w:val="403152" w:themeColor="accent4" w:themeShade="80"/>
          <w:sz w:val="24"/>
          <w:szCs w:val="24"/>
        </w:rPr>
        <w:t xml:space="preserve"> written by Lime</w:t>
      </w:r>
      <w:r w:rsidR="008E33E6" w:rsidRPr="00176EF1">
        <w:rPr>
          <w:rFonts w:ascii="Times New Roman" w:hAnsi="Times New Roman" w:cs="Times New Roman"/>
          <w:color w:val="403152" w:themeColor="accent4" w:themeShade="80"/>
          <w:sz w:val="24"/>
          <w:szCs w:val="24"/>
        </w:rPr>
        <w:t xml:space="preserve"> since </w:t>
      </w:r>
      <w:r w:rsidR="00AE0F54" w:rsidRPr="00176EF1">
        <w:rPr>
          <w:rFonts w:ascii="Times New Roman" w:hAnsi="Times New Roman" w:cs="Times New Roman"/>
          <w:color w:val="403152" w:themeColor="accent4" w:themeShade="80"/>
          <w:sz w:val="24"/>
          <w:szCs w:val="24"/>
        </w:rPr>
        <w:t>OGS</w:t>
      </w:r>
      <w:r w:rsidR="008E33E6" w:rsidRPr="00176EF1">
        <w:rPr>
          <w:rFonts w:ascii="Times New Roman" w:hAnsi="Times New Roman" w:cs="Times New Roman"/>
          <w:color w:val="403152" w:themeColor="accent4" w:themeShade="80"/>
          <w:sz w:val="24"/>
          <w:szCs w:val="24"/>
        </w:rPr>
        <w:t xml:space="preserve"> and </w:t>
      </w:r>
      <w:r w:rsidR="00FD08A7" w:rsidRPr="00176EF1">
        <w:rPr>
          <w:rFonts w:ascii="Times New Roman" w:hAnsi="Times New Roman" w:cs="Times New Roman"/>
          <w:color w:val="403152" w:themeColor="accent4" w:themeShade="80"/>
          <w:sz w:val="24"/>
          <w:szCs w:val="24"/>
        </w:rPr>
        <w:t>Lime</w:t>
      </w:r>
      <w:r w:rsidR="008E33E6" w:rsidRPr="00176EF1">
        <w:rPr>
          <w:rFonts w:ascii="Times New Roman" w:hAnsi="Times New Roman" w:cs="Times New Roman"/>
          <w:color w:val="403152" w:themeColor="accent4" w:themeShade="80"/>
          <w:sz w:val="24"/>
          <w:szCs w:val="24"/>
        </w:rPr>
        <w:t xml:space="preserve"> did not </w:t>
      </w:r>
      <w:r w:rsidR="00442516" w:rsidRPr="00176EF1">
        <w:rPr>
          <w:rFonts w:ascii="Times New Roman" w:hAnsi="Times New Roman" w:cs="Times New Roman"/>
          <w:color w:val="403152" w:themeColor="accent4" w:themeShade="80"/>
          <w:sz w:val="24"/>
          <w:szCs w:val="24"/>
        </w:rPr>
        <w:t>execute</w:t>
      </w:r>
      <w:r w:rsidR="008E33E6" w:rsidRPr="00176EF1">
        <w:rPr>
          <w:rFonts w:ascii="Times New Roman" w:hAnsi="Times New Roman" w:cs="Times New Roman"/>
          <w:color w:val="403152" w:themeColor="accent4" w:themeShade="80"/>
          <w:sz w:val="24"/>
          <w:szCs w:val="24"/>
        </w:rPr>
        <w:t xml:space="preserve"> </w:t>
      </w:r>
      <w:r w:rsidR="00FD08A7" w:rsidRPr="00176EF1">
        <w:rPr>
          <w:rFonts w:ascii="Times New Roman" w:hAnsi="Times New Roman" w:cs="Times New Roman"/>
          <w:color w:val="403152" w:themeColor="accent4" w:themeShade="80"/>
          <w:sz w:val="24"/>
          <w:szCs w:val="24"/>
        </w:rPr>
        <w:t>the</w:t>
      </w:r>
      <w:r w:rsidR="00442516" w:rsidRPr="00176EF1">
        <w:rPr>
          <w:rFonts w:ascii="Times New Roman" w:hAnsi="Times New Roman" w:cs="Times New Roman"/>
          <w:color w:val="403152" w:themeColor="accent4" w:themeShade="80"/>
          <w:sz w:val="24"/>
          <w:szCs w:val="24"/>
        </w:rPr>
        <w:t xml:space="preserve"> </w:t>
      </w:r>
      <w:r w:rsidR="003C3B44" w:rsidRPr="00176EF1">
        <w:rPr>
          <w:rFonts w:ascii="Times New Roman" w:hAnsi="Times New Roman" w:cs="Times New Roman"/>
          <w:color w:val="403152" w:themeColor="accent4" w:themeShade="80"/>
          <w:sz w:val="24"/>
          <w:szCs w:val="24"/>
        </w:rPr>
        <w:t>required</w:t>
      </w:r>
      <w:r w:rsidR="00FD08A7" w:rsidRPr="00176EF1">
        <w:rPr>
          <w:rFonts w:ascii="Times New Roman" w:hAnsi="Times New Roman" w:cs="Times New Roman"/>
          <w:color w:val="403152" w:themeColor="accent4" w:themeShade="80"/>
          <w:sz w:val="24"/>
          <w:szCs w:val="24"/>
        </w:rPr>
        <w:t xml:space="preserve"> </w:t>
      </w:r>
      <w:r w:rsidR="008E33E6" w:rsidRPr="00176EF1">
        <w:rPr>
          <w:rFonts w:ascii="Times New Roman" w:hAnsi="Times New Roman" w:cs="Times New Roman"/>
          <w:color w:val="403152" w:themeColor="accent4" w:themeShade="80"/>
          <w:sz w:val="24"/>
          <w:szCs w:val="24"/>
        </w:rPr>
        <w:t xml:space="preserve">“work made for hire” </w:t>
      </w:r>
      <w:r w:rsidR="00442516" w:rsidRPr="00176EF1">
        <w:rPr>
          <w:rFonts w:ascii="Times New Roman" w:hAnsi="Times New Roman" w:cs="Times New Roman"/>
          <w:color w:val="403152" w:themeColor="accent4" w:themeShade="80"/>
          <w:sz w:val="24"/>
          <w:szCs w:val="24"/>
        </w:rPr>
        <w:t>signed writing</w:t>
      </w:r>
      <w:r w:rsidR="008E33E6" w:rsidRPr="00176EF1">
        <w:rPr>
          <w:rFonts w:ascii="Times New Roman" w:hAnsi="Times New Roman" w:cs="Times New Roman"/>
          <w:color w:val="403152" w:themeColor="accent4" w:themeShade="80"/>
          <w:sz w:val="24"/>
          <w:szCs w:val="24"/>
        </w:rPr>
        <w:t xml:space="preserve"> until after </w:t>
      </w:r>
      <w:r w:rsidR="00FD08A7" w:rsidRPr="00176EF1">
        <w:rPr>
          <w:rFonts w:ascii="Times New Roman" w:hAnsi="Times New Roman" w:cs="Times New Roman"/>
          <w:color w:val="403152" w:themeColor="accent4" w:themeShade="80"/>
          <w:sz w:val="24"/>
          <w:szCs w:val="24"/>
        </w:rPr>
        <w:t>Lime’s</w:t>
      </w:r>
      <w:r w:rsidR="001748BB" w:rsidRPr="00176EF1">
        <w:rPr>
          <w:rFonts w:ascii="Times New Roman" w:hAnsi="Times New Roman" w:cs="Times New Roman"/>
          <w:color w:val="403152" w:themeColor="accent4" w:themeShade="80"/>
          <w:sz w:val="24"/>
          <w:szCs w:val="24"/>
        </w:rPr>
        <w:t xml:space="preserve"> creation</w:t>
      </w:r>
      <w:r w:rsidR="008E33E6" w:rsidRPr="00176EF1">
        <w:rPr>
          <w:rFonts w:ascii="Times New Roman" w:hAnsi="Times New Roman" w:cs="Times New Roman"/>
          <w:color w:val="403152" w:themeColor="accent4" w:themeShade="80"/>
          <w:sz w:val="24"/>
          <w:szCs w:val="24"/>
        </w:rPr>
        <w:t>.</w:t>
      </w:r>
    </w:p>
    <w:p w14:paraId="5601C533" w14:textId="77777777" w:rsidR="00FD08A7" w:rsidRPr="00E519DB" w:rsidRDefault="00FD08A7" w:rsidP="00596F35">
      <w:pPr>
        <w:spacing w:line="480" w:lineRule="auto"/>
        <w:contextualSpacing/>
        <w:rPr>
          <w:rFonts w:ascii="Times New Roman" w:hAnsi="Times New Roman" w:cs="Times New Roman"/>
          <w:color w:val="403152" w:themeColor="accent4" w:themeShade="80"/>
          <w:sz w:val="24"/>
          <w:szCs w:val="24"/>
        </w:rPr>
      </w:pPr>
      <w:r w:rsidRPr="00176EF1">
        <w:rPr>
          <w:rFonts w:ascii="Times New Roman" w:hAnsi="Times New Roman" w:cs="Times New Roman"/>
          <w:color w:val="403152" w:themeColor="accent4" w:themeShade="80"/>
          <w:sz w:val="24"/>
          <w:szCs w:val="24"/>
        </w:rPr>
        <w:tab/>
      </w:r>
      <w:r w:rsidR="003676BA" w:rsidRPr="00176EF1">
        <w:rPr>
          <w:rFonts w:ascii="Times New Roman" w:hAnsi="Times New Roman" w:cs="Times New Roman"/>
          <w:color w:val="403152" w:themeColor="accent4" w:themeShade="80"/>
          <w:sz w:val="24"/>
          <w:szCs w:val="24"/>
        </w:rPr>
        <w:t>However, Defendants do not refute the material fact that before Lime created the screenplay, Lime and OGS</w:t>
      </w:r>
      <w:r w:rsidR="003676BA">
        <w:rPr>
          <w:rFonts w:ascii="Times New Roman" w:hAnsi="Times New Roman" w:cs="Times New Roman"/>
          <w:color w:val="403152" w:themeColor="accent4" w:themeShade="80"/>
          <w:sz w:val="24"/>
          <w:szCs w:val="24"/>
        </w:rPr>
        <w:t xml:space="preserve"> had a</w:t>
      </w:r>
      <w:r w:rsidR="003C3B44">
        <w:rPr>
          <w:rFonts w:ascii="Times New Roman" w:hAnsi="Times New Roman" w:cs="Times New Roman"/>
          <w:color w:val="403152" w:themeColor="accent4" w:themeShade="80"/>
          <w:sz w:val="24"/>
          <w:szCs w:val="24"/>
        </w:rPr>
        <w:t xml:space="preserve">n </w:t>
      </w:r>
      <w:r w:rsidR="003676BA">
        <w:rPr>
          <w:rFonts w:ascii="Times New Roman" w:hAnsi="Times New Roman" w:cs="Times New Roman"/>
          <w:color w:val="403152" w:themeColor="accent4" w:themeShade="80"/>
          <w:sz w:val="24"/>
          <w:szCs w:val="24"/>
        </w:rPr>
        <w:t xml:space="preserve">oral agreement that the work would be made-for-hire. </w:t>
      </w:r>
      <w:r w:rsidR="00DC7AD6">
        <w:rPr>
          <w:rFonts w:ascii="Times New Roman" w:hAnsi="Times New Roman" w:cs="Times New Roman"/>
          <w:color w:val="403152" w:themeColor="accent4" w:themeShade="80"/>
          <w:sz w:val="24"/>
          <w:szCs w:val="24"/>
        </w:rPr>
        <w:t>The Court must reject</w:t>
      </w:r>
      <w:r w:rsidR="00B00271" w:rsidRPr="00E519DB">
        <w:rPr>
          <w:rFonts w:ascii="Times New Roman" w:hAnsi="Times New Roman" w:cs="Times New Roman"/>
          <w:color w:val="403152" w:themeColor="accent4" w:themeShade="80"/>
          <w:sz w:val="24"/>
          <w:szCs w:val="24"/>
        </w:rPr>
        <w:t xml:space="preserve"> Defendants’ motion </w:t>
      </w:r>
      <w:r w:rsidR="00AE0F54">
        <w:rPr>
          <w:rFonts w:ascii="Times New Roman" w:hAnsi="Times New Roman" w:cs="Times New Roman"/>
          <w:color w:val="403152" w:themeColor="accent4" w:themeShade="80"/>
          <w:sz w:val="24"/>
          <w:szCs w:val="24"/>
        </w:rPr>
        <w:t>for judgment on the pleadings</w:t>
      </w:r>
      <w:r w:rsidR="00B00271" w:rsidRPr="00E519DB">
        <w:rPr>
          <w:rFonts w:ascii="Times New Roman" w:hAnsi="Times New Roman" w:cs="Times New Roman"/>
          <w:color w:val="403152" w:themeColor="accent4" w:themeShade="80"/>
          <w:sz w:val="24"/>
          <w:szCs w:val="24"/>
        </w:rPr>
        <w:t xml:space="preserve"> because </w:t>
      </w:r>
      <w:r w:rsidR="00AE0F54">
        <w:rPr>
          <w:rFonts w:ascii="Times New Roman" w:hAnsi="Times New Roman" w:cs="Times New Roman"/>
          <w:color w:val="403152" w:themeColor="accent4" w:themeShade="80"/>
          <w:sz w:val="24"/>
          <w:szCs w:val="24"/>
        </w:rPr>
        <w:t xml:space="preserve">OGS and Lime </w:t>
      </w:r>
      <w:r w:rsidR="008A02A4" w:rsidRPr="00E519DB">
        <w:rPr>
          <w:rFonts w:ascii="Times New Roman" w:hAnsi="Times New Roman" w:cs="Times New Roman"/>
          <w:color w:val="403152" w:themeColor="accent4" w:themeShade="80"/>
          <w:sz w:val="24"/>
          <w:szCs w:val="24"/>
        </w:rPr>
        <w:t xml:space="preserve">signed </w:t>
      </w:r>
      <w:r w:rsidR="00442516">
        <w:rPr>
          <w:rFonts w:ascii="Times New Roman" w:hAnsi="Times New Roman" w:cs="Times New Roman"/>
          <w:color w:val="403152" w:themeColor="accent4" w:themeShade="80"/>
          <w:sz w:val="24"/>
          <w:szCs w:val="24"/>
        </w:rPr>
        <w:t>the</w:t>
      </w:r>
      <w:r w:rsidR="003676BA">
        <w:rPr>
          <w:rFonts w:ascii="Times New Roman" w:hAnsi="Times New Roman" w:cs="Times New Roman"/>
          <w:color w:val="403152" w:themeColor="accent4" w:themeShade="80"/>
          <w:sz w:val="24"/>
          <w:szCs w:val="24"/>
        </w:rPr>
        <w:t xml:space="preserve"> written agreement</w:t>
      </w:r>
      <w:r w:rsidR="008A02A4" w:rsidRPr="00E519DB">
        <w:rPr>
          <w:rFonts w:ascii="Times New Roman" w:hAnsi="Times New Roman" w:cs="Times New Roman"/>
          <w:color w:val="403152" w:themeColor="accent4" w:themeShade="80"/>
          <w:sz w:val="24"/>
          <w:szCs w:val="24"/>
        </w:rPr>
        <w:t xml:space="preserve"> </w:t>
      </w:r>
      <w:r w:rsidR="003676BA">
        <w:rPr>
          <w:rFonts w:ascii="Times New Roman" w:hAnsi="Times New Roman" w:cs="Times New Roman"/>
          <w:color w:val="403152" w:themeColor="accent4" w:themeShade="80"/>
          <w:sz w:val="24"/>
          <w:szCs w:val="24"/>
        </w:rPr>
        <w:t>as a confirmation of</w:t>
      </w:r>
      <w:r w:rsidR="000716F5" w:rsidRPr="00E519DB">
        <w:rPr>
          <w:rFonts w:ascii="Times New Roman" w:hAnsi="Times New Roman" w:cs="Times New Roman"/>
          <w:color w:val="403152" w:themeColor="accent4" w:themeShade="80"/>
          <w:sz w:val="24"/>
          <w:szCs w:val="24"/>
        </w:rPr>
        <w:t xml:space="preserve"> </w:t>
      </w:r>
      <w:r w:rsidR="003676BA">
        <w:rPr>
          <w:rFonts w:ascii="Times New Roman" w:hAnsi="Times New Roman" w:cs="Times New Roman"/>
          <w:color w:val="403152" w:themeColor="accent4" w:themeShade="80"/>
          <w:sz w:val="24"/>
          <w:szCs w:val="24"/>
        </w:rPr>
        <w:t>their</w:t>
      </w:r>
      <w:r w:rsidR="008A02A4" w:rsidRPr="00E519DB">
        <w:rPr>
          <w:rFonts w:ascii="Times New Roman" w:hAnsi="Times New Roman" w:cs="Times New Roman"/>
          <w:color w:val="403152" w:themeColor="accent4" w:themeShade="80"/>
          <w:sz w:val="24"/>
          <w:szCs w:val="24"/>
        </w:rPr>
        <w:t xml:space="preserve"> </w:t>
      </w:r>
      <w:r w:rsidR="00442516">
        <w:rPr>
          <w:rFonts w:ascii="Times New Roman" w:hAnsi="Times New Roman" w:cs="Times New Roman"/>
          <w:color w:val="403152" w:themeColor="accent4" w:themeShade="80"/>
          <w:sz w:val="24"/>
          <w:szCs w:val="24"/>
        </w:rPr>
        <w:t xml:space="preserve">timely </w:t>
      </w:r>
      <w:r w:rsidR="008A02A4" w:rsidRPr="00E519DB">
        <w:rPr>
          <w:rFonts w:ascii="Times New Roman" w:hAnsi="Times New Roman" w:cs="Times New Roman"/>
          <w:color w:val="403152" w:themeColor="accent4" w:themeShade="80"/>
          <w:sz w:val="24"/>
          <w:szCs w:val="24"/>
        </w:rPr>
        <w:t>prior oral agreement</w:t>
      </w:r>
      <w:r w:rsidR="003676BA">
        <w:rPr>
          <w:rFonts w:ascii="Times New Roman" w:hAnsi="Times New Roman" w:cs="Times New Roman"/>
          <w:color w:val="403152" w:themeColor="accent4" w:themeShade="80"/>
          <w:sz w:val="24"/>
          <w:szCs w:val="24"/>
        </w:rPr>
        <w:t>, making OGS the author and owner of the copyright to the screenplay.</w:t>
      </w:r>
    </w:p>
    <w:p w14:paraId="1CF71C8E" w14:textId="77777777" w:rsidR="00545E0D" w:rsidRPr="00E519DB" w:rsidRDefault="009A6F22" w:rsidP="00596F35">
      <w:pPr>
        <w:spacing w:line="480" w:lineRule="auto"/>
        <w:contextualSpacing/>
        <w:jc w:val="center"/>
        <w:rPr>
          <w:rFonts w:ascii="Times New Roman" w:hAnsi="Times New Roman" w:cs="Times New Roman"/>
          <w:b/>
          <w:color w:val="403152" w:themeColor="accent4" w:themeShade="80"/>
          <w:sz w:val="24"/>
          <w:szCs w:val="24"/>
          <w:u w:val="single"/>
        </w:rPr>
      </w:pPr>
      <w:r w:rsidRPr="00E519DB">
        <w:rPr>
          <w:rFonts w:ascii="Times New Roman" w:hAnsi="Times New Roman" w:cs="Times New Roman"/>
          <w:color w:val="403152" w:themeColor="accent4" w:themeShade="80"/>
          <w:sz w:val="24"/>
          <w:szCs w:val="24"/>
          <w:u w:val="single"/>
        </w:rPr>
        <w:t>FACTS</w:t>
      </w:r>
    </w:p>
    <w:p w14:paraId="4F0F440F" w14:textId="77777777" w:rsidR="00545E0D" w:rsidRPr="00E519DB" w:rsidRDefault="00D32DA8" w:rsidP="00596F35">
      <w:pPr>
        <w:spacing w:line="480" w:lineRule="auto"/>
        <w:ind w:firstLine="720"/>
        <w:contextualSpacing/>
        <w:rPr>
          <w:rFonts w:ascii="Times New Roman" w:hAnsi="Times New Roman" w:cs="Times New Roman"/>
          <w:color w:val="403152" w:themeColor="accent4" w:themeShade="80"/>
          <w:sz w:val="24"/>
          <w:szCs w:val="24"/>
        </w:rPr>
      </w:pPr>
      <w:r>
        <w:rPr>
          <w:rFonts w:ascii="Times New Roman" w:hAnsi="Times New Roman" w:cs="Times New Roman"/>
          <w:color w:val="403152" w:themeColor="accent4" w:themeShade="80"/>
          <w:sz w:val="24"/>
          <w:szCs w:val="24"/>
        </w:rPr>
        <w:t>OGS</w:t>
      </w:r>
      <w:r w:rsidR="00A66712" w:rsidRPr="00E519DB">
        <w:rPr>
          <w:rFonts w:ascii="Times New Roman" w:hAnsi="Times New Roman" w:cs="Times New Roman"/>
          <w:color w:val="403152" w:themeColor="accent4" w:themeShade="80"/>
          <w:sz w:val="24"/>
          <w:szCs w:val="24"/>
        </w:rPr>
        <w:t xml:space="preserve"> is the creator, producer, and broadcaster of an original television series entitled </w:t>
      </w:r>
      <w:r w:rsidR="00A66712" w:rsidRPr="00E519DB">
        <w:rPr>
          <w:rFonts w:ascii="Times New Roman" w:hAnsi="Times New Roman" w:cs="Times New Roman"/>
          <w:i/>
          <w:color w:val="403152" w:themeColor="accent4" w:themeShade="80"/>
          <w:sz w:val="24"/>
          <w:szCs w:val="24"/>
        </w:rPr>
        <w:t>Lawless Love</w:t>
      </w:r>
      <w:r w:rsidR="00A66712" w:rsidRPr="00E519DB">
        <w:rPr>
          <w:rFonts w:ascii="Times New Roman" w:hAnsi="Times New Roman" w:cs="Times New Roman"/>
          <w:color w:val="403152" w:themeColor="accent4" w:themeShade="80"/>
          <w:sz w:val="24"/>
          <w:szCs w:val="24"/>
        </w:rPr>
        <w:t>. (</w:t>
      </w:r>
      <w:proofErr w:type="spellStart"/>
      <w:r w:rsidR="00F810C4" w:rsidRPr="00E519DB">
        <w:rPr>
          <w:rFonts w:ascii="Times New Roman" w:hAnsi="Times New Roman" w:cs="Times New Roman"/>
          <w:color w:val="403152" w:themeColor="accent4" w:themeShade="80"/>
          <w:sz w:val="24"/>
          <w:szCs w:val="24"/>
        </w:rPr>
        <w:t>Compl</w:t>
      </w:r>
      <w:proofErr w:type="spellEnd"/>
      <w:r w:rsidR="00F810C4" w:rsidRPr="00E519DB">
        <w:rPr>
          <w:rFonts w:ascii="Times New Roman" w:hAnsi="Times New Roman" w:cs="Times New Roman"/>
          <w:color w:val="403152" w:themeColor="accent4" w:themeShade="80"/>
          <w:sz w:val="24"/>
          <w:szCs w:val="24"/>
        </w:rPr>
        <w:t xml:space="preserve">. </w:t>
      </w:r>
      <w:r w:rsidR="00C7450C" w:rsidRPr="00E519DB">
        <w:rPr>
          <w:rFonts w:ascii="Times New Roman" w:hAnsi="Times New Roman" w:cs="Times New Roman"/>
          <w:color w:val="403152" w:themeColor="accent4" w:themeShade="80"/>
          <w:sz w:val="24"/>
          <w:szCs w:val="24"/>
        </w:rPr>
        <w:t xml:space="preserve">¶ </w:t>
      </w:r>
      <w:r w:rsidR="00CC3F84" w:rsidRPr="00E519DB">
        <w:rPr>
          <w:rFonts w:ascii="Times New Roman" w:hAnsi="Times New Roman" w:cs="Times New Roman"/>
          <w:color w:val="403152" w:themeColor="accent4" w:themeShade="80"/>
          <w:sz w:val="24"/>
          <w:szCs w:val="24"/>
        </w:rPr>
        <w:t xml:space="preserve">5.) On March 27, 2010, </w:t>
      </w:r>
      <w:r>
        <w:rPr>
          <w:rFonts w:ascii="Times New Roman" w:hAnsi="Times New Roman" w:cs="Times New Roman"/>
          <w:color w:val="403152" w:themeColor="accent4" w:themeShade="80"/>
          <w:sz w:val="24"/>
          <w:szCs w:val="24"/>
        </w:rPr>
        <w:t>OGS</w:t>
      </w:r>
      <w:r w:rsidR="00CC3F84" w:rsidRPr="00E519DB">
        <w:rPr>
          <w:rFonts w:ascii="Times New Roman" w:hAnsi="Times New Roman" w:cs="Times New Roman"/>
          <w:color w:val="403152" w:themeColor="accent4" w:themeShade="80"/>
          <w:sz w:val="24"/>
          <w:szCs w:val="24"/>
        </w:rPr>
        <w:t xml:space="preserve"> contacted </w:t>
      </w:r>
      <w:r w:rsidR="00D305C8" w:rsidRPr="00E519DB">
        <w:rPr>
          <w:rFonts w:ascii="Times New Roman" w:hAnsi="Times New Roman" w:cs="Times New Roman"/>
          <w:color w:val="403152" w:themeColor="accent4" w:themeShade="80"/>
          <w:sz w:val="24"/>
          <w:szCs w:val="24"/>
        </w:rPr>
        <w:t>Lime</w:t>
      </w:r>
      <w:r w:rsidR="00CC3F84" w:rsidRPr="00E519DB">
        <w:rPr>
          <w:rFonts w:ascii="Times New Roman" w:hAnsi="Times New Roman" w:cs="Times New Roman"/>
          <w:color w:val="403152" w:themeColor="accent4" w:themeShade="80"/>
          <w:sz w:val="24"/>
          <w:szCs w:val="24"/>
        </w:rPr>
        <w:t>, a television writer</w:t>
      </w:r>
      <w:r w:rsidR="00B33EB4" w:rsidRPr="00E519DB">
        <w:rPr>
          <w:rFonts w:ascii="Times New Roman" w:hAnsi="Times New Roman" w:cs="Times New Roman"/>
          <w:color w:val="403152" w:themeColor="accent4" w:themeShade="80"/>
          <w:sz w:val="24"/>
          <w:szCs w:val="24"/>
        </w:rPr>
        <w:t xml:space="preserve"> with </w:t>
      </w:r>
      <w:r w:rsidR="004556C5">
        <w:rPr>
          <w:rFonts w:ascii="Times New Roman" w:hAnsi="Times New Roman" w:cs="Times New Roman"/>
          <w:color w:val="403152" w:themeColor="accent4" w:themeShade="80"/>
          <w:sz w:val="24"/>
          <w:szCs w:val="24"/>
        </w:rPr>
        <w:lastRenderedPageBreak/>
        <w:t xml:space="preserve">over </w:t>
      </w:r>
      <w:r w:rsidR="00B33EB4" w:rsidRPr="00E519DB">
        <w:rPr>
          <w:rFonts w:ascii="Times New Roman" w:hAnsi="Times New Roman" w:cs="Times New Roman"/>
          <w:color w:val="403152" w:themeColor="accent4" w:themeShade="80"/>
          <w:sz w:val="24"/>
          <w:szCs w:val="24"/>
        </w:rPr>
        <w:t>fifteen years of experience</w:t>
      </w:r>
      <w:r w:rsidR="00CC3F84" w:rsidRPr="00E519DB">
        <w:rPr>
          <w:rFonts w:ascii="Times New Roman" w:hAnsi="Times New Roman" w:cs="Times New Roman"/>
          <w:color w:val="403152" w:themeColor="accent4" w:themeShade="80"/>
          <w:sz w:val="24"/>
          <w:szCs w:val="24"/>
        </w:rPr>
        <w:t xml:space="preserve">, </w:t>
      </w:r>
      <w:r w:rsidR="004556C5">
        <w:rPr>
          <w:rFonts w:ascii="Times New Roman" w:hAnsi="Times New Roman" w:cs="Times New Roman"/>
          <w:color w:val="403152" w:themeColor="accent4" w:themeShade="80"/>
          <w:sz w:val="24"/>
          <w:szCs w:val="24"/>
        </w:rPr>
        <w:t xml:space="preserve">specially </w:t>
      </w:r>
      <w:r w:rsidR="00CC3F84" w:rsidRPr="00E519DB">
        <w:rPr>
          <w:rFonts w:ascii="Times New Roman" w:hAnsi="Times New Roman" w:cs="Times New Roman"/>
          <w:color w:val="403152" w:themeColor="accent4" w:themeShade="80"/>
          <w:sz w:val="24"/>
          <w:szCs w:val="24"/>
        </w:rPr>
        <w:t>commission</w:t>
      </w:r>
      <w:r w:rsidR="004556C5">
        <w:rPr>
          <w:rFonts w:ascii="Times New Roman" w:hAnsi="Times New Roman" w:cs="Times New Roman"/>
          <w:color w:val="403152" w:themeColor="accent4" w:themeShade="80"/>
          <w:sz w:val="24"/>
          <w:szCs w:val="24"/>
        </w:rPr>
        <w:t>ing</w:t>
      </w:r>
      <w:r w:rsidR="00CC3F84" w:rsidRPr="00E519DB">
        <w:rPr>
          <w:rFonts w:ascii="Times New Roman" w:hAnsi="Times New Roman" w:cs="Times New Roman"/>
          <w:color w:val="403152" w:themeColor="accent4" w:themeShade="80"/>
          <w:sz w:val="24"/>
          <w:szCs w:val="24"/>
        </w:rPr>
        <w:t xml:space="preserve"> h</w:t>
      </w:r>
      <w:r w:rsidR="00D96FA9" w:rsidRPr="00E519DB">
        <w:rPr>
          <w:rFonts w:ascii="Times New Roman" w:hAnsi="Times New Roman" w:cs="Times New Roman"/>
          <w:color w:val="403152" w:themeColor="accent4" w:themeShade="80"/>
          <w:sz w:val="24"/>
          <w:szCs w:val="24"/>
        </w:rPr>
        <w:t>er to write a screenplay for a single</w:t>
      </w:r>
      <w:r w:rsidR="00CC3F84" w:rsidRPr="00E519DB">
        <w:rPr>
          <w:rFonts w:ascii="Times New Roman" w:hAnsi="Times New Roman" w:cs="Times New Roman"/>
          <w:color w:val="403152" w:themeColor="accent4" w:themeShade="80"/>
          <w:sz w:val="24"/>
          <w:szCs w:val="24"/>
        </w:rPr>
        <w:t xml:space="preserve"> episode of </w:t>
      </w:r>
      <w:r w:rsidR="00CC3F84" w:rsidRPr="00E519DB">
        <w:rPr>
          <w:rFonts w:ascii="Times New Roman" w:hAnsi="Times New Roman" w:cs="Times New Roman"/>
          <w:i/>
          <w:color w:val="403152" w:themeColor="accent4" w:themeShade="80"/>
          <w:sz w:val="24"/>
          <w:szCs w:val="24"/>
        </w:rPr>
        <w:t xml:space="preserve">Lawless Love. </w:t>
      </w:r>
      <w:r w:rsidR="00CC3F84" w:rsidRPr="00E519DB">
        <w:rPr>
          <w:rFonts w:ascii="Times New Roman" w:hAnsi="Times New Roman" w:cs="Times New Roman"/>
          <w:color w:val="403152" w:themeColor="accent4" w:themeShade="80"/>
          <w:sz w:val="24"/>
          <w:szCs w:val="24"/>
        </w:rPr>
        <w:t>(</w:t>
      </w:r>
      <w:bookmarkStart w:id="2" w:name="CITRUS_BOOKMARK1000000002"/>
      <w:r w:rsidR="00C1088C" w:rsidRPr="00427A13">
        <w:rPr>
          <w:rFonts w:ascii="Times New Roman" w:hAnsi="Times New Roman" w:cs="Times New Roman"/>
          <w:i/>
          <w:color w:val="403152" w:themeColor="accent4" w:themeShade="80"/>
          <w:sz w:val="24"/>
          <w:szCs w:val="24"/>
        </w:rPr>
        <w:t>Id.</w:t>
      </w:r>
      <w:r w:rsidR="00A77C8F" w:rsidRPr="00427A13">
        <w:rPr>
          <w:rFonts w:ascii="Times New Roman" w:hAnsi="Times New Roman" w:cs="Times New Roman"/>
          <w:i/>
          <w:color w:val="403152" w:themeColor="accent4" w:themeShade="80"/>
          <w:sz w:val="24"/>
          <w:szCs w:val="24"/>
        </w:rPr>
        <w:t xml:space="preserve"> </w:t>
      </w:r>
      <w:r w:rsidR="00C7450C" w:rsidRPr="00427A13">
        <w:rPr>
          <w:rFonts w:ascii="Times New Roman" w:hAnsi="Times New Roman" w:cs="Times New Roman"/>
          <w:color w:val="403152" w:themeColor="accent4" w:themeShade="80"/>
          <w:sz w:val="24"/>
          <w:szCs w:val="24"/>
        </w:rPr>
        <w:t xml:space="preserve">¶¶ </w:t>
      </w:r>
      <w:r w:rsidR="00D96FA9" w:rsidRPr="00427A13">
        <w:rPr>
          <w:rFonts w:ascii="Times New Roman" w:hAnsi="Times New Roman" w:cs="Times New Roman"/>
          <w:color w:val="403152" w:themeColor="accent4" w:themeShade="80"/>
          <w:sz w:val="24"/>
          <w:szCs w:val="24"/>
        </w:rPr>
        <w:t>9, 11</w:t>
      </w:r>
      <w:bookmarkEnd w:id="2"/>
      <w:r w:rsidR="00D96FA9" w:rsidRPr="00E519DB">
        <w:rPr>
          <w:rFonts w:ascii="Times New Roman" w:hAnsi="Times New Roman" w:cs="Times New Roman"/>
          <w:color w:val="403152" w:themeColor="accent4" w:themeShade="80"/>
          <w:sz w:val="24"/>
          <w:szCs w:val="24"/>
        </w:rPr>
        <w:t>.)</w:t>
      </w:r>
    </w:p>
    <w:p w14:paraId="17B2D070" w14:textId="77777777" w:rsidR="00D305C8" w:rsidRPr="00E519DB" w:rsidRDefault="00D96FA9" w:rsidP="00596F35">
      <w:pPr>
        <w:spacing w:line="480" w:lineRule="auto"/>
        <w:ind w:firstLine="720"/>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On that day, Lime met with executive producer Dave</w:t>
      </w:r>
      <w:r w:rsidR="00D305C8" w:rsidRPr="00E519DB">
        <w:rPr>
          <w:rFonts w:ascii="Times New Roman" w:hAnsi="Times New Roman" w:cs="Times New Roman"/>
          <w:color w:val="403152" w:themeColor="accent4" w:themeShade="80"/>
          <w:sz w:val="24"/>
          <w:szCs w:val="24"/>
        </w:rPr>
        <w:t xml:space="preserve"> Nelson</w:t>
      </w:r>
      <w:r w:rsidR="004556C5">
        <w:rPr>
          <w:rFonts w:ascii="Times New Roman" w:hAnsi="Times New Roman" w:cs="Times New Roman"/>
          <w:color w:val="403152" w:themeColor="accent4" w:themeShade="80"/>
          <w:sz w:val="24"/>
          <w:szCs w:val="24"/>
        </w:rPr>
        <w:t xml:space="preserve"> (“Nelson”)</w:t>
      </w:r>
      <w:r w:rsidRPr="00E519DB">
        <w:rPr>
          <w:rFonts w:ascii="Times New Roman" w:hAnsi="Times New Roman" w:cs="Times New Roman"/>
          <w:color w:val="403152" w:themeColor="accent4" w:themeShade="80"/>
          <w:sz w:val="24"/>
          <w:szCs w:val="24"/>
        </w:rPr>
        <w:t xml:space="preserve">, an employee and agent of </w:t>
      </w:r>
      <w:r w:rsidR="004556C5">
        <w:rPr>
          <w:rFonts w:ascii="Times New Roman" w:hAnsi="Times New Roman" w:cs="Times New Roman"/>
          <w:color w:val="403152" w:themeColor="accent4" w:themeShade="80"/>
          <w:sz w:val="24"/>
          <w:szCs w:val="24"/>
        </w:rPr>
        <w:t>OGS</w:t>
      </w:r>
      <w:r w:rsidRPr="00E519DB">
        <w:rPr>
          <w:rFonts w:ascii="Times New Roman" w:hAnsi="Times New Roman" w:cs="Times New Roman"/>
          <w:color w:val="403152" w:themeColor="accent4" w:themeShade="80"/>
          <w:sz w:val="24"/>
          <w:szCs w:val="24"/>
        </w:rPr>
        <w:t xml:space="preserve">, </w:t>
      </w:r>
      <w:r w:rsidR="00FF4ED5">
        <w:rPr>
          <w:rFonts w:ascii="Times New Roman" w:hAnsi="Times New Roman" w:cs="Times New Roman"/>
          <w:color w:val="403152" w:themeColor="accent4" w:themeShade="80"/>
          <w:sz w:val="24"/>
          <w:szCs w:val="24"/>
        </w:rPr>
        <w:t>and</w:t>
      </w:r>
      <w:r w:rsidRPr="00E519DB">
        <w:rPr>
          <w:rFonts w:ascii="Times New Roman" w:hAnsi="Times New Roman" w:cs="Times New Roman"/>
          <w:color w:val="403152" w:themeColor="accent4" w:themeShade="80"/>
          <w:sz w:val="24"/>
          <w:szCs w:val="24"/>
        </w:rPr>
        <w:t xml:space="preserve"> </w:t>
      </w:r>
      <w:r w:rsidR="00D305C8" w:rsidRPr="00E519DB">
        <w:rPr>
          <w:rFonts w:ascii="Times New Roman" w:hAnsi="Times New Roman" w:cs="Times New Roman"/>
          <w:color w:val="403152" w:themeColor="accent4" w:themeShade="80"/>
          <w:sz w:val="24"/>
          <w:szCs w:val="24"/>
        </w:rPr>
        <w:t>they oral</w:t>
      </w:r>
      <w:r w:rsidRPr="00E519DB">
        <w:rPr>
          <w:rFonts w:ascii="Times New Roman" w:hAnsi="Times New Roman" w:cs="Times New Roman"/>
          <w:color w:val="403152" w:themeColor="accent4" w:themeShade="80"/>
          <w:sz w:val="24"/>
          <w:szCs w:val="24"/>
        </w:rPr>
        <w:t xml:space="preserve">ly agreed that </w:t>
      </w:r>
      <w:r w:rsidR="00FF4ED5">
        <w:rPr>
          <w:rFonts w:ascii="Times New Roman" w:hAnsi="Times New Roman" w:cs="Times New Roman"/>
          <w:color w:val="403152" w:themeColor="accent4" w:themeShade="80"/>
          <w:sz w:val="24"/>
          <w:szCs w:val="24"/>
        </w:rPr>
        <w:t>in compensation for $6,000, Lime</w:t>
      </w:r>
      <w:r w:rsidRPr="00E519DB">
        <w:rPr>
          <w:rFonts w:ascii="Times New Roman" w:hAnsi="Times New Roman" w:cs="Times New Roman"/>
          <w:color w:val="403152" w:themeColor="accent4" w:themeShade="80"/>
          <w:sz w:val="24"/>
          <w:szCs w:val="24"/>
        </w:rPr>
        <w:t xml:space="preserve"> would write </w:t>
      </w:r>
      <w:r w:rsidR="00FF4ED5">
        <w:rPr>
          <w:rFonts w:ascii="Times New Roman" w:hAnsi="Times New Roman" w:cs="Times New Roman"/>
          <w:color w:val="403152" w:themeColor="accent4" w:themeShade="80"/>
          <w:sz w:val="24"/>
          <w:szCs w:val="24"/>
        </w:rPr>
        <w:t>a</w:t>
      </w:r>
      <w:r w:rsidRPr="00E519DB">
        <w:rPr>
          <w:rFonts w:ascii="Times New Roman" w:hAnsi="Times New Roman" w:cs="Times New Roman"/>
          <w:color w:val="403152" w:themeColor="accent4" w:themeShade="80"/>
          <w:sz w:val="24"/>
          <w:szCs w:val="24"/>
        </w:rPr>
        <w:t xml:space="preserve"> screenplay</w:t>
      </w:r>
      <w:r w:rsidR="00FF4ED5">
        <w:rPr>
          <w:rFonts w:ascii="Times New Roman" w:hAnsi="Times New Roman" w:cs="Times New Roman"/>
          <w:color w:val="403152" w:themeColor="accent4" w:themeShade="80"/>
          <w:sz w:val="24"/>
          <w:szCs w:val="24"/>
        </w:rPr>
        <w:t xml:space="preserve"> for OGS</w:t>
      </w:r>
      <w:r w:rsidR="00D305C8" w:rsidRPr="00E519DB">
        <w:rPr>
          <w:rFonts w:ascii="Times New Roman" w:hAnsi="Times New Roman" w:cs="Times New Roman"/>
          <w:color w:val="403152" w:themeColor="accent4" w:themeShade="80"/>
          <w:sz w:val="24"/>
          <w:szCs w:val="24"/>
        </w:rPr>
        <w:t xml:space="preserve"> by April 1, 2010. (</w:t>
      </w:r>
      <w:bookmarkStart w:id="3" w:name="CITRUS_BOOKMARK1000000003"/>
      <w:r w:rsidR="00C1088C" w:rsidRPr="00427A13">
        <w:rPr>
          <w:rFonts w:ascii="Times New Roman" w:hAnsi="Times New Roman" w:cs="Times New Roman"/>
          <w:i/>
          <w:color w:val="403152" w:themeColor="accent4" w:themeShade="80"/>
          <w:sz w:val="24"/>
          <w:szCs w:val="24"/>
        </w:rPr>
        <w:t>Id.</w:t>
      </w:r>
      <w:r w:rsidR="00F810C4" w:rsidRPr="00427A13">
        <w:rPr>
          <w:rFonts w:ascii="Times New Roman" w:hAnsi="Times New Roman" w:cs="Times New Roman"/>
          <w:color w:val="403152" w:themeColor="accent4" w:themeShade="80"/>
          <w:sz w:val="24"/>
          <w:szCs w:val="24"/>
        </w:rPr>
        <w:t xml:space="preserve"> </w:t>
      </w:r>
      <w:r w:rsidR="00C7450C" w:rsidRPr="00427A13">
        <w:rPr>
          <w:rFonts w:ascii="Times New Roman" w:hAnsi="Times New Roman" w:cs="Times New Roman"/>
          <w:color w:val="403152" w:themeColor="accent4" w:themeShade="80"/>
          <w:sz w:val="24"/>
          <w:szCs w:val="24"/>
        </w:rPr>
        <w:t xml:space="preserve">¶¶ </w:t>
      </w:r>
      <w:r w:rsidRPr="00427A13">
        <w:rPr>
          <w:rFonts w:ascii="Times New Roman" w:hAnsi="Times New Roman" w:cs="Times New Roman"/>
          <w:color w:val="403152" w:themeColor="accent4" w:themeShade="80"/>
          <w:sz w:val="24"/>
          <w:szCs w:val="24"/>
        </w:rPr>
        <w:t>10, 12, 13, 15</w:t>
      </w:r>
      <w:bookmarkEnd w:id="3"/>
      <w:r w:rsidRPr="00E519DB">
        <w:rPr>
          <w:rFonts w:ascii="Times New Roman" w:hAnsi="Times New Roman" w:cs="Times New Roman"/>
          <w:color w:val="403152" w:themeColor="accent4" w:themeShade="80"/>
          <w:sz w:val="24"/>
          <w:szCs w:val="24"/>
        </w:rPr>
        <w:t>.</w:t>
      </w:r>
      <w:r w:rsidR="00D305C8" w:rsidRPr="00E519DB">
        <w:rPr>
          <w:rFonts w:ascii="Times New Roman" w:hAnsi="Times New Roman" w:cs="Times New Roman"/>
          <w:color w:val="403152" w:themeColor="accent4" w:themeShade="80"/>
          <w:sz w:val="24"/>
          <w:szCs w:val="24"/>
        </w:rPr>
        <w:t xml:space="preserve">) </w:t>
      </w:r>
      <w:r w:rsidR="00FF4ED5">
        <w:rPr>
          <w:rFonts w:ascii="Times New Roman" w:hAnsi="Times New Roman" w:cs="Times New Roman"/>
          <w:color w:val="403152" w:themeColor="accent4" w:themeShade="80"/>
          <w:sz w:val="24"/>
          <w:szCs w:val="24"/>
        </w:rPr>
        <w:t xml:space="preserve">During this meeting, </w:t>
      </w:r>
      <w:r w:rsidR="00B33EB4" w:rsidRPr="00E519DB">
        <w:rPr>
          <w:rFonts w:ascii="Times New Roman" w:hAnsi="Times New Roman" w:cs="Times New Roman"/>
          <w:color w:val="403152" w:themeColor="accent4" w:themeShade="80"/>
          <w:sz w:val="24"/>
          <w:szCs w:val="24"/>
        </w:rPr>
        <w:t>Nelson</w:t>
      </w:r>
      <w:r w:rsidR="00AD5D91" w:rsidRPr="00E519DB">
        <w:rPr>
          <w:rFonts w:ascii="Times New Roman" w:hAnsi="Times New Roman" w:cs="Times New Roman"/>
          <w:color w:val="403152" w:themeColor="accent4" w:themeShade="80"/>
          <w:sz w:val="24"/>
          <w:szCs w:val="24"/>
        </w:rPr>
        <w:t xml:space="preserve"> specifically</w:t>
      </w:r>
      <w:r w:rsidR="00B33EB4" w:rsidRPr="00E519DB">
        <w:rPr>
          <w:rFonts w:ascii="Times New Roman" w:hAnsi="Times New Roman" w:cs="Times New Roman"/>
          <w:color w:val="403152" w:themeColor="accent4" w:themeShade="80"/>
          <w:sz w:val="24"/>
          <w:szCs w:val="24"/>
        </w:rPr>
        <w:t xml:space="preserve"> informed Lime that her </w:t>
      </w:r>
      <w:r w:rsidR="00B074B7" w:rsidRPr="00E519DB">
        <w:rPr>
          <w:rFonts w:ascii="Times New Roman" w:hAnsi="Times New Roman" w:cs="Times New Roman"/>
          <w:color w:val="403152" w:themeColor="accent4" w:themeShade="80"/>
          <w:sz w:val="24"/>
          <w:szCs w:val="24"/>
        </w:rPr>
        <w:t>work on the scre</w:t>
      </w:r>
      <w:r w:rsidR="00F65A9E" w:rsidRPr="00E519DB">
        <w:rPr>
          <w:rFonts w:ascii="Times New Roman" w:hAnsi="Times New Roman" w:cs="Times New Roman"/>
          <w:color w:val="403152" w:themeColor="accent4" w:themeShade="80"/>
          <w:sz w:val="24"/>
          <w:szCs w:val="24"/>
        </w:rPr>
        <w:t xml:space="preserve">enplay would be a work made for </w:t>
      </w:r>
      <w:r w:rsidR="00B074B7" w:rsidRPr="00E519DB">
        <w:rPr>
          <w:rFonts w:ascii="Times New Roman" w:hAnsi="Times New Roman" w:cs="Times New Roman"/>
          <w:color w:val="403152" w:themeColor="accent4" w:themeShade="80"/>
          <w:sz w:val="24"/>
          <w:szCs w:val="24"/>
        </w:rPr>
        <w:t>hire</w:t>
      </w:r>
      <w:r w:rsidR="00FF4ED5">
        <w:rPr>
          <w:rFonts w:ascii="Times New Roman" w:hAnsi="Times New Roman" w:cs="Times New Roman"/>
          <w:color w:val="403152" w:themeColor="accent4" w:themeShade="80"/>
          <w:sz w:val="24"/>
          <w:szCs w:val="24"/>
        </w:rPr>
        <w:t xml:space="preserve"> and</w:t>
      </w:r>
      <w:r w:rsidR="00B33EB4" w:rsidRPr="00E519DB">
        <w:rPr>
          <w:rFonts w:ascii="Times New Roman" w:hAnsi="Times New Roman" w:cs="Times New Roman"/>
          <w:color w:val="403152" w:themeColor="accent4" w:themeShade="80"/>
          <w:sz w:val="24"/>
          <w:szCs w:val="24"/>
        </w:rPr>
        <w:t xml:space="preserve"> </w:t>
      </w:r>
      <w:r w:rsidR="00B074B7" w:rsidRPr="00E519DB">
        <w:rPr>
          <w:rFonts w:ascii="Times New Roman" w:hAnsi="Times New Roman" w:cs="Times New Roman"/>
          <w:color w:val="403152" w:themeColor="accent4" w:themeShade="80"/>
          <w:sz w:val="24"/>
          <w:szCs w:val="24"/>
        </w:rPr>
        <w:t xml:space="preserve">that </w:t>
      </w:r>
      <w:r w:rsidR="00FF4ED5">
        <w:rPr>
          <w:rFonts w:ascii="Times New Roman" w:hAnsi="Times New Roman" w:cs="Times New Roman"/>
          <w:color w:val="403152" w:themeColor="accent4" w:themeShade="80"/>
          <w:sz w:val="24"/>
          <w:szCs w:val="24"/>
        </w:rPr>
        <w:t>OGS</w:t>
      </w:r>
      <w:r w:rsidR="00B074B7" w:rsidRPr="00E519DB">
        <w:rPr>
          <w:rFonts w:ascii="Times New Roman" w:hAnsi="Times New Roman" w:cs="Times New Roman"/>
          <w:color w:val="403152" w:themeColor="accent4" w:themeShade="80"/>
          <w:sz w:val="24"/>
          <w:szCs w:val="24"/>
        </w:rPr>
        <w:t xml:space="preserve"> would be the author of the work</w:t>
      </w:r>
      <w:r w:rsidR="00FF4ED5">
        <w:rPr>
          <w:rFonts w:ascii="Times New Roman" w:hAnsi="Times New Roman" w:cs="Times New Roman"/>
          <w:color w:val="403152" w:themeColor="accent4" w:themeShade="80"/>
          <w:sz w:val="24"/>
          <w:szCs w:val="24"/>
        </w:rPr>
        <w:t xml:space="preserve"> (</w:t>
      </w:r>
      <w:bookmarkStart w:id="4" w:name="CITRUS_BOOKMARK1000000004"/>
      <w:r w:rsidR="00C1088C" w:rsidRPr="00427A13">
        <w:rPr>
          <w:rFonts w:ascii="Times New Roman" w:hAnsi="Times New Roman" w:cs="Times New Roman"/>
          <w:i/>
          <w:color w:val="403152" w:themeColor="accent4" w:themeShade="80"/>
          <w:sz w:val="24"/>
          <w:szCs w:val="24"/>
        </w:rPr>
        <w:t>Id.</w:t>
      </w:r>
      <w:r w:rsidR="00A77C8F" w:rsidRPr="00427A13">
        <w:rPr>
          <w:rFonts w:ascii="Times New Roman" w:hAnsi="Times New Roman" w:cs="Times New Roman"/>
          <w:i/>
          <w:color w:val="403152" w:themeColor="accent4" w:themeShade="80"/>
          <w:sz w:val="24"/>
          <w:szCs w:val="24"/>
        </w:rPr>
        <w:t xml:space="preserve"> </w:t>
      </w:r>
      <w:r w:rsidR="00FF4ED5" w:rsidRPr="00427A13">
        <w:rPr>
          <w:rFonts w:ascii="Times New Roman" w:hAnsi="Times New Roman" w:cs="Times New Roman"/>
          <w:color w:val="403152" w:themeColor="accent4" w:themeShade="80"/>
          <w:sz w:val="24"/>
          <w:szCs w:val="24"/>
        </w:rPr>
        <w:t>¶ 16</w:t>
      </w:r>
      <w:bookmarkEnd w:id="4"/>
      <w:r w:rsidR="00FF4ED5">
        <w:rPr>
          <w:rFonts w:ascii="Times New Roman" w:hAnsi="Times New Roman" w:cs="Times New Roman"/>
          <w:color w:val="403152" w:themeColor="accent4" w:themeShade="80"/>
          <w:sz w:val="24"/>
          <w:szCs w:val="24"/>
        </w:rPr>
        <w:t>.) Nelson then asked if Lime understood and was “okay” with that arrangement, to which Lime replied, “Yes.” (</w:t>
      </w:r>
      <w:bookmarkStart w:id="5" w:name="CITRUS_BOOKMARK1000000005"/>
      <w:r w:rsidR="00C1088C" w:rsidRPr="00427A13">
        <w:rPr>
          <w:rFonts w:ascii="Times New Roman" w:hAnsi="Times New Roman" w:cs="Times New Roman"/>
          <w:i/>
          <w:color w:val="403152" w:themeColor="accent4" w:themeShade="80"/>
          <w:sz w:val="24"/>
          <w:szCs w:val="24"/>
        </w:rPr>
        <w:t>Id.</w:t>
      </w:r>
      <w:r w:rsidR="00A77C8F" w:rsidRPr="00427A13">
        <w:rPr>
          <w:rFonts w:ascii="Times New Roman" w:hAnsi="Times New Roman" w:cs="Times New Roman"/>
          <w:i/>
          <w:color w:val="403152" w:themeColor="accent4" w:themeShade="80"/>
          <w:sz w:val="24"/>
          <w:szCs w:val="24"/>
        </w:rPr>
        <w:t xml:space="preserve"> </w:t>
      </w:r>
      <w:r w:rsidR="00FF4ED5" w:rsidRPr="00427A13">
        <w:rPr>
          <w:rFonts w:ascii="Times New Roman" w:hAnsi="Times New Roman" w:cs="Times New Roman"/>
          <w:color w:val="403152" w:themeColor="accent4" w:themeShade="80"/>
          <w:sz w:val="24"/>
          <w:szCs w:val="24"/>
        </w:rPr>
        <w:t>¶ 17</w:t>
      </w:r>
      <w:bookmarkEnd w:id="5"/>
      <w:r w:rsidR="00FF4ED5">
        <w:rPr>
          <w:rFonts w:ascii="Times New Roman" w:hAnsi="Times New Roman" w:cs="Times New Roman"/>
          <w:color w:val="403152" w:themeColor="accent4" w:themeShade="80"/>
          <w:sz w:val="24"/>
          <w:szCs w:val="24"/>
        </w:rPr>
        <w:t xml:space="preserve">.) </w:t>
      </w:r>
      <w:r w:rsidR="00D64C8B">
        <w:rPr>
          <w:rFonts w:ascii="Times New Roman" w:hAnsi="Times New Roman" w:cs="Times New Roman"/>
          <w:color w:val="403152" w:themeColor="accent4" w:themeShade="80"/>
          <w:sz w:val="24"/>
          <w:szCs w:val="24"/>
        </w:rPr>
        <w:t xml:space="preserve">In order for Lime to get started working on the screenplay that day, </w:t>
      </w:r>
      <w:r w:rsidR="00B074B7" w:rsidRPr="00E519DB">
        <w:rPr>
          <w:rFonts w:ascii="Times New Roman" w:hAnsi="Times New Roman" w:cs="Times New Roman"/>
          <w:color w:val="403152" w:themeColor="accent4" w:themeShade="80"/>
          <w:sz w:val="24"/>
          <w:szCs w:val="24"/>
        </w:rPr>
        <w:t>Nelson told Lime that she could s</w:t>
      </w:r>
      <w:r w:rsidR="00D64C8B">
        <w:rPr>
          <w:rFonts w:ascii="Times New Roman" w:hAnsi="Times New Roman" w:cs="Times New Roman"/>
          <w:color w:val="403152" w:themeColor="accent4" w:themeShade="80"/>
          <w:sz w:val="24"/>
          <w:szCs w:val="24"/>
        </w:rPr>
        <w:t>ign the paperwork later</w:t>
      </w:r>
      <w:r w:rsidR="00B074B7" w:rsidRPr="00E519DB">
        <w:rPr>
          <w:rFonts w:ascii="Times New Roman" w:hAnsi="Times New Roman" w:cs="Times New Roman"/>
          <w:color w:val="403152" w:themeColor="accent4" w:themeShade="80"/>
          <w:sz w:val="24"/>
          <w:szCs w:val="24"/>
        </w:rPr>
        <w:t>. (</w:t>
      </w:r>
      <w:bookmarkStart w:id="6" w:name="CITRUS_BOOKMARK1000000006"/>
      <w:r w:rsidR="00C1088C" w:rsidRPr="00427A13">
        <w:rPr>
          <w:rFonts w:ascii="Times New Roman" w:hAnsi="Times New Roman" w:cs="Times New Roman"/>
          <w:i/>
          <w:color w:val="403152" w:themeColor="accent4" w:themeShade="80"/>
          <w:sz w:val="24"/>
          <w:szCs w:val="24"/>
        </w:rPr>
        <w:t>Id.</w:t>
      </w:r>
      <w:r w:rsidR="00F810C4" w:rsidRPr="00427A13">
        <w:rPr>
          <w:rFonts w:ascii="Times New Roman" w:hAnsi="Times New Roman" w:cs="Times New Roman"/>
          <w:color w:val="403152" w:themeColor="accent4" w:themeShade="80"/>
          <w:sz w:val="24"/>
          <w:szCs w:val="24"/>
        </w:rPr>
        <w:t xml:space="preserve"> </w:t>
      </w:r>
      <w:r w:rsidR="00C7450C" w:rsidRPr="00427A13">
        <w:rPr>
          <w:rFonts w:ascii="Times New Roman" w:hAnsi="Times New Roman" w:cs="Times New Roman"/>
          <w:color w:val="403152" w:themeColor="accent4" w:themeShade="80"/>
          <w:sz w:val="24"/>
          <w:szCs w:val="24"/>
        </w:rPr>
        <w:t xml:space="preserve">¶ </w:t>
      </w:r>
      <w:r w:rsidR="00B074B7" w:rsidRPr="00427A13">
        <w:rPr>
          <w:rFonts w:ascii="Times New Roman" w:hAnsi="Times New Roman" w:cs="Times New Roman"/>
          <w:color w:val="403152" w:themeColor="accent4" w:themeShade="80"/>
          <w:sz w:val="24"/>
          <w:szCs w:val="24"/>
        </w:rPr>
        <w:t>20</w:t>
      </w:r>
      <w:bookmarkEnd w:id="6"/>
      <w:r w:rsidR="00B074B7" w:rsidRPr="00E519DB">
        <w:rPr>
          <w:rFonts w:ascii="Times New Roman" w:hAnsi="Times New Roman" w:cs="Times New Roman"/>
          <w:color w:val="403152" w:themeColor="accent4" w:themeShade="80"/>
          <w:sz w:val="24"/>
          <w:szCs w:val="24"/>
        </w:rPr>
        <w:t>.)</w:t>
      </w:r>
    </w:p>
    <w:p w14:paraId="41F31C20" w14:textId="77777777" w:rsidR="0028238E" w:rsidRPr="00E519DB" w:rsidRDefault="0028238E" w:rsidP="00596F35">
      <w:pPr>
        <w:spacing w:line="480" w:lineRule="auto"/>
        <w:ind w:firstLine="720"/>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 xml:space="preserve">Lime wrote a screenplay entitled, “Anticipatory Repudiation,” </w:t>
      </w:r>
      <w:r w:rsidR="000D6CC5">
        <w:rPr>
          <w:rFonts w:ascii="Times New Roman" w:hAnsi="Times New Roman" w:cs="Times New Roman"/>
          <w:color w:val="403152" w:themeColor="accent4" w:themeShade="80"/>
          <w:sz w:val="24"/>
          <w:szCs w:val="24"/>
        </w:rPr>
        <w:t>and</w:t>
      </w:r>
      <w:r w:rsidRPr="00E519DB">
        <w:rPr>
          <w:rFonts w:ascii="Times New Roman" w:hAnsi="Times New Roman" w:cs="Times New Roman"/>
          <w:color w:val="403152" w:themeColor="accent4" w:themeShade="80"/>
          <w:sz w:val="24"/>
          <w:szCs w:val="24"/>
        </w:rPr>
        <w:t xml:space="preserve"> she submitted </w:t>
      </w:r>
      <w:r w:rsidR="000D6CC5">
        <w:rPr>
          <w:rFonts w:ascii="Times New Roman" w:hAnsi="Times New Roman" w:cs="Times New Roman"/>
          <w:color w:val="403152" w:themeColor="accent4" w:themeShade="80"/>
          <w:sz w:val="24"/>
          <w:szCs w:val="24"/>
        </w:rPr>
        <w:t xml:space="preserve">it </w:t>
      </w:r>
      <w:r w:rsidRPr="00E519DB">
        <w:rPr>
          <w:rFonts w:ascii="Times New Roman" w:hAnsi="Times New Roman" w:cs="Times New Roman"/>
          <w:color w:val="403152" w:themeColor="accent4" w:themeShade="80"/>
          <w:sz w:val="24"/>
          <w:szCs w:val="24"/>
        </w:rPr>
        <w:t xml:space="preserve">to </w:t>
      </w:r>
      <w:r w:rsidR="000D6CC5">
        <w:rPr>
          <w:rFonts w:ascii="Times New Roman" w:hAnsi="Times New Roman" w:cs="Times New Roman"/>
          <w:color w:val="403152" w:themeColor="accent4" w:themeShade="80"/>
          <w:sz w:val="24"/>
          <w:szCs w:val="24"/>
        </w:rPr>
        <w:t>OGS</w:t>
      </w:r>
      <w:r w:rsidRPr="00E519DB">
        <w:rPr>
          <w:rFonts w:ascii="Times New Roman" w:hAnsi="Times New Roman" w:cs="Times New Roman"/>
          <w:color w:val="403152" w:themeColor="accent4" w:themeShade="80"/>
          <w:sz w:val="24"/>
          <w:szCs w:val="24"/>
        </w:rPr>
        <w:t xml:space="preserve"> on the agreed-upon date of April 1, 2010. (</w:t>
      </w:r>
      <w:bookmarkStart w:id="7" w:name="CITRUS_BOOKMARK1000000007"/>
      <w:r w:rsidR="00C1088C" w:rsidRPr="00427A13">
        <w:rPr>
          <w:rFonts w:ascii="Times New Roman" w:hAnsi="Times New Roman" w:cs="Times New Roman"/>
          <w:i/>
          <w:color w:val="403152" w:themeColor="accent4" w:themeShade="80"/>
          <w:sz w:val="24"/>
          <w:szCs w:val="24"/>
        </w:rPr>
        <w:t>Id.</w:t>
      </w:r>
      <w:r w:rsidR="00A77C8F" w:rsidRPr="00427A13">
        <w:rPr>
          <w:rFonts w:ascii="Times New Roman" w:hAnsi="Times New Roman" w:cs="Times New Roman"/>
          <w:i/>
          <w:color w:val="403152" w:themeColor="accent4" w:themeShade="80"/>
          <w:sz w:val="24"/>
          <w:szCs w:val="24"/>
        </w:rPr>
        <w:t xml:space="preserve"> </w:t>
      </w:r>
      <w:r w:rsidR="00C7450C" w:rsidRPr="00427A13">
        <w:rPr>
          <w:rFonts w:ascii="Times New Roman" w:hAnsi="Times New Roman" w:cs="Times New Roman"/>
          <w:color w:val="403152" w:themeColor="accent4" w:themeShade="80"/>
          <w:sz w:val="24"/>
          <w:szCs w:val="24"/>
        </w:rPr>
        <w:t xml:space="preserve">¶ </w:t>
      </w:r>
      <w:r w:rsidRPr="00427A13">
        <w:rPr>
          <w:rFonts w:ascii="Times New Roman" w:hAnsi="Times New Roman" w:cs="Times New Roman"/>
          <w:color w:val="403152" w:themeColor="accent4" w:themeShade="80"/>
          <w:sz w:val="24"/>
          <w:szCs w:val="24"/>
        </w:rPr>
        <w:t>21</w:t>
      </w:r>
      <w:bookmarkEnd w:id="7"/>
      <w:r w:rsidR="00F810C4" w:rsidRPr="00E519DB">
        <w:rPr>
          <w:rFonts w:ascii="Times New Roman" w:hAnsi="Times New Roman" w:cs="Times New Roman"/>
          <w:color w:val="403152" w:themeColor="accent4" w:themeShade="80"/>
          <w:sz w:val="24"/>
          <w:szCs w:val="24"/>
        </w:rPr>
        <w:t xml:space="preserve">; Answer </w:t>
      </w:r>
      <w:r w:rsidR="00C7450C" w:rsidRPr="00E519DB">
        <w:rPr>
          <w:rFonts w:ascii="Times New Roman" w:hAnsi="Times New Roman" w:cs="Times New Roman"/>
          <w:color w:val="403152" w:themeColor="accent4" w:themeShade="80"/>
          <w:sz w:val="24"/>
          <w:szCs w:val="24"/>
        </w:rPr>
        <w:t xml:space="preserve">¶ </w:t>
      </w:r>
      <w:r w:rsidR="009F31E1" w:rsidRPr="00E519DB">
        <w:rPr>
          <w:rFonts w:ascii="Times New Roman" w:hAnsi="Times New Roman" w:cs="Times New Roman"/>
          <w:color w:val="403152" w:themeColor="accent4" w:themeShade="80"/>
          <w:sz w:val="24"/>
          <w:szCs w:val="24"/>
        </w:rPr>
        <w:t>1</w:t>
      </w:r>
      <w:r w:rsidRPr="00E519DB">
        <w:rPr>
          <w:rFonts w:ascii="Times New Roman" w:hAnsi="Times New Roman" w:cs="Times New Roman"/>
          <w:color w:val="403152" w:themeColor="accent4" w:themeShade="80"/>
          <w:sz w:val="24"/>
          <w:szCs w:val="24"/>
        </w:rPr>
        <w:t xml:space="preserve">.) The next day, </w:t>
      </w:r>
      <w:r w:rsidR="000D6CC5">
        <w:rPr>
          <w:rFonts w:ascii="Times New Roman" w:hAnsi="Times New Roman" w:cs="Times New Roman"/>
          <w:color w:val="403152" w:themeColor="accent4" w:themeShade="80"/>
          <w:sz w:val="24"/>
          <w:szCs w:val="24"/>
        </w:rPr>
        <w:t>OGS</w:t>
      </w:r>
      <w:r w:rsidRPr="00E519DB">
        <w:rPr>
          <w:rFonts w:ascii="Times New Roman" w:hAnsi="Times New Roman" w:cs="Times New Roman"/>
          <w:color w:val="403152" w:themeColor="accent4" w:themeShade="80"/>
          <w:sz w:val="24"/>
          <w:szCs w:val="24"/>
        </w:rPr>
        <w:t xml:space="preserve"> secured a certificate of registration </w:t>
      </w:r>
      <w:r w:rsidR="000D6CC5">
        <w:rPr>
          <w:rFonts w:ascii="Times New Roman" w:hAnsi="Times New Roman" w:cs="Times New Roman"/>
          <w:color w:val="403152" w:themeColor="accent4" w:themeShade="80"/>
          <w:sz w:val="24"/>
          <w:szCs w:val="24"/>
        </w:rPr>
        <w:t>from the Register of Copyrights</w:t>
      </w:r>
      <w:r w:rsidRPr="00E519DB">
        <w:rPr>
          <w:rFonts w:ascii="Times New Roman" w:hAnsi="Times New Roman" w:cs="Times New Roman"/>
          <w:color w:val="403152" w:themeColor="accent4" w:themeShade="80"/>
          <w:sz w:val="24"/>
          <w:szCs w:val="24"/>
        </w:rPr>
        <w:t>. (</w:t>
      </w:r>
      <w:proofErr w:type="spellStart"/>
      <w:r w:rsidR="00F810C4" w:rsidRPr="00E519DB">
        <w:rPr>
          <w:rFonts w:ascii="Times New Roman" w:hAnsi="Times New Roman" w:cs="Times New Roman"/>
          <w:color w:val="403152" w:themeColor="accent4" w:themeShade="80"/>
          <w:sz w:val="24"/>
          <w:szCs w:val="24"/>
        </w:rPr>
        <w:t>Compl</w:t>
      </w:r>
      <w:proofErr w:type="spellEnd"/>
      <w:r w:rsidR="00F810C4" w:rsidRPr="00E519DB">
        <w:rPr>
          <w:rFonts w:ascii="Times New Roman" w:hAnsi="Times New Roman" w:cs="Times New Roman"/>
          <w:color w:val="403152" w:themeColor="accent4" w:themeShade="80"/>
          <w:sz w:val="24"/>
          <w:szCs w:val="24"/>
        </w:rPr>
        <w:t xml:space="preserve">. </w:t>
      </w:r>
      <w:r w:rsidR="00C7450C" w:rsidRPr="00E519DB">
        <w:rPr>
          <w:rFonts w:ascii="Times New Roman" w:hAnsi="Times New Roman" w:cs="Times New Roman"/>
          <w:color w:val="403152" w:themeColor="accent4" w:themeShade="80"/>
          <w:sz w:val="24"/>
          <w:szCs w:val="24"/>
        </w:rPr>
        <w:t xml:space="preserve">¶ </w:t>
      </w:r>
      <w:r w:rsidR="000D6CC5">
        <w:rPr>
          <w:rFonts w:ascii="Times New Roman" w:hAnsi="Times New Roman" w:cs="Times New Roman"/>
          <w:color w:val="403152" w:themeColor="accent4" w:themeShade="80"/>
          <w:sz w:val="24"/>
          <w:szCs w:val="24"/>
        </w:rPr>
        <w:t>22.) O</w:t>
      </w:r>
      <w:r w:rsidRPr="00E519DB">
        <w:rPr>
          <w:rFonts w:ascii="Times New Roman" w:hAnsi="Times New Roman" w:cs="Times New Roman"/>
          <w:color w:val="403152" w:themeColor="accent4" w:themeShade="80"/>
          <w:sz w:val="24"/>
          <w:szCs w:val="24"/>
        </w:rPr>
        <w:t xml:space="preserve">n April 6, Lime and Nelson signed a document labeled “Work-Made-For-Hire Agreement,” which </w:t>
      </w:r>
      <w:r w:rsidR="00D96FA9" w:rsidRPr="00E519DB">
        <w:rPr>
          <w:rFonts w:ascii="Times New Roman" w:hAnsi="Times New Roman" w:cs="Times New Roman"/>
          <w:color w:val="403152" w:themeColor="accent4" w:themeShade="80"/>
          <w:sz w:val="24"/>
          <w:szCs w:val="24"/>
        </w:rPr>
        <w:t>stated</w:t>
      </w:r>
      <w:r w:rsidR="000D6CC5">
        <w:rPr>
          <w:rFonts w:ascii="Times New Roman" w:hAnsi="Times New Roman" w:cs="Times New Roman"/>
          <w:color w:val="403152" w:themeColor="accent4" w:themeShade="80"/>
          <w:sz w:val="24"/>
          <w:szCs w:val="24"/>
        </w:rPr>
        <w:t xml:space="preserve"> from Lime’s perspective</w:t>
      </w:r>
      <w:r w:rsidRPr="00E519DB">
        <w:rPr>
          <w:rFonts w:ascii="Times New Roman" w:hAnsi="Times New Roman" w:cs="Times New Roman"/>
          <w:color w:val="403152" w:themeColor="accent4" w:themeShade="80"/>
          <w:sz w:val="24"/>
          <w:szCs w:val="24"/>
        </w:rPr>
        <w:t>, “I understand and agree that I have prepared the screenplay, ‘Anticipatory Repudiation,’ as a work made for hire under the federal Copyright Act of 1976. Pursuant to this law, OGS TV is the author of this screenplay.” (</w:t>
      </w:r>
      <w:bookmarkStart w:id="8" w:name="CITRUS_BOOKMARK1000000008"/>
      <w:r w:rsidR="00C1088C" w:rsidRPr="00427A13">
        <w:rPr>
          <w:rFonts w:ascii="Times New Roman" w:hAnsi="Times New Roman" w:cs="Times New Roman"/>
          <w:i/>
          <w:color w:val="403152" w:themeColor="accent4" w:themeShade="80"/>
          <w:sz w:val="24"/>
          <w:szCs w:val="24"/>
        </w:rPr>
        <w:t>Id.</w:t>
      </w:r>
      <w:r w:rsidR="00A77C8F" w:rsidRPr="00427A13">
        <w:rPr>
          <w:rFonts w:ascii="Times New Roman" w:hAnsi="Times New Roman" w:cs="Times New Roman"/>
          <w:i/>
          <w:color w:val="403152" w:themeColor="accent4" w:themeShade="80"/>
          <w:sz w:val="24"/>
          <w:szCs w:val="24"/>
        </w:rPr>
        <w:t xml:space="preserve"> </w:t>
      </w:r>
      <w:r w:rsidR="00F810C4" w:rsidRPr="00427A13">
        <w:rPr>
          <w:rFonts w:ascii="Times New Roman" w:hAnsi="Times New Roman" w:cs="Times New Roman"/>
          <w:color w:val="403152" w:themeColor="accent4" w:themeShade="80"/>
          <w:sz w:val="24"/>
          <w:szCs w:val="24"/>
        </w:rPr>
        <w:t>¶¶</w:t>
      </w:r>
      <w:r w:rsidR="00C7450C" w:rsidRPr="00427A13">
        <w:rPr>
          <w:rFonts w:ascii="Times New Roman" w:hAnsi="Times New Roman" w:cs="Times New Roman"/>
          <w:color w:val="403152" w:themeColor="accent4" w:themeShade="80"/>
          <w:sz w:val="24"/>
          <w:szCs w:val="24"/>
        </w:rPr>
        <w:t xml:space="preserve"> </w:t>
      </w:r>
      <w:r w:rsidRPr="00427A13">
        <w:rPr>
          <w:rFonts w:ascii="Times New Roman" w:hAnsi="Times New Roman" w:cs="Times New Roman"/>
          <w:color w:val="403152" w:themeColor="accent4" w:themeShade="80"/>
          <w:sz w:val="24"/>
          <w:szCs w:val="24"/>
        </w:rPr>
        <w:t>24</w:t>
      </w:r>
      <w:bookmarkEnd w:id="8"/>
      <w:r w:rsidR="000D6CC5">
        <w:rPr>
          <w:rFonts w:ascii="Times New Roman" w:hAnsi="Times New Roman" w:cs="Times New Roman"/>
          <w:color w:val="403152" w:themeColor="accent4" w:themeShade="80"/>
          <w:sz w:val="24"/>
          <w:szCs w:val="24"/>
        </w:rPr>
        <w:t>—</w:t>
      </w:r>
      <w:r w:rsidRPr="00E519DB">
        <w:rPr>
          <w:rFonts w:ascii="Times New Roman" w:hAnsi="Times New Roman" w:cs="Times New Roman"/>
          <w:color w:val="403152" w:themeColor="accent4" w:themeShade="80"/>
          <w:sz w:val="24"/>
          <w:szCs w:val="24"/>
        </w:rPr>
        <w:t>25.)</w:t>
      </w:r>
    </w:p>
    <w:p w14:paraId="268ABD63" w14:textId="77777777" w:rsidR="006F6169" w:rsidRPr="00E519DB" w:rsidRDefault="00FF2ECE" w:rsidP="006F6169">
      <w:pPr>
        <w:spacing w:line="480" w:lineRule="auto"/>
        <w:ind w:firstLine="720"/>
        <w:contextualSpacing/>
        <w:rPr>
          <w:rFonts w:ascii="Times New Roman" w:hAnsi="Times New Roman" w:cs="Times New Roman"/>
          <w:color w:val="403152" w:themeColor="accent4" w:themeShade="80"/>
          <w:sz w:val="24"/>
          <w:szCs w:val="24"/>
        </w:rPr>
      </w:pPr>
      <w:r>
        <w:rPr>
          <w:rFonts w:ascii="Times New Roman" w:hAnsi="Times New Roman" w:cs="Times New Roman"/>
          <w:color w:val="403152" w:themeColor="accent4" w:themeShade="80"/>
          <w:sz w:val="24"/>
          <w:szCs w:val="24"/>
        </w:rPr>
        <w:t>Ultimately</w:t>
      </w:r>
      <w:r w:rsidR="00C90E24" w:rsidRPr="00E519DB">
        <w:rPr>
          <w:rFonts w:ascii="Times New Roman" w:hAnsi="Times New Roman" w:cs="Times New Roman"/>
          <w:color w:val="403152" w:themeColor="accent4" w:themeShade="80"/>
          <w:sz w:val="24"/>
          <w:szCs w:val="24"/>
        </w:rPr>
        <w:t xml:space="preserve">, </w:t>
      </w:r>
      <w:r w:rsidR="000857D7">
        <w:rPr>
          <w:rFonts w:ascii="Times New Roman" w:hAnsi="Times New Roman" w:cs="Times New Roman"/>
          <w:color w:val="403152" w:themeColor="accent4" w:themeShade="80"/>
          <w:sz w:val="24"/>
          <w:szCs w:val="24"/>
        </w:rPr>
        <w:t>OGS</w:t>
      </w:r>
      <w:r>
        <w:rPr>
          <w:rFonts w:ascii="Times New Roman" w:hAnsi="Times New Roman" w:cs="Times New Roman"/>
          <w:color w:val="403152" w:themeColor="accent4" w:themeShade="80"/>
          <w:sz w:val="24"/>
          <w:szCs w:val="24"/>
        </w:rPr>
        <w:t>’s</w:t>
      </w:r>
      <w:r w:rsidR="000857D7">
        <w:rPr>
          <w:rFonts w:ascii="Times New Roman" w:hAnsi="Times New Roman" w:cs="Times New Roman"/>
          <w:color w:val="403152" w:themeColor="accent4" w:themeShade="80"/>
          <w:sz w:val="24"/>
          <w:szCs w:val="24"/>
        </w:rPr>
        <w:t xml:space="preserve"> </w:t>
      </w:r>
      <w:r>
        <w:rPr>
          <w:rFonts w:ascii="Times New Roman" w:hAnsi="Times New Roman" w:cs="Times New Roman"/>
          <w:color w:val="403152" w:themeColor="accent4" w:themeShade="80"/>
          <w:sz w:val="24"/>
          <w:szCs w:val="24"/>
        </w:rPr>
        <w:t>executives determined that</w:t>
      </w:r>
      <w:r w:rsidR="000857D7">
        <w:rPr>
          <w:rFonts w:ascii="Times New Roman" w:hAnsi="Times New Roman" w:cs="Times New Roman"/>
          <w:color w:val="403152" w:themeColor="accent4" w:themeShade="80"/>
          <w:sz w:val="24"/>
          <w:szCs w:val="24"/>
        </w:rPr>
        <w:t xml:space="preserve"> </w:t>
      </w:r>
      <w:r w:rsidR="00C90E24" w:rsidRPr="00E519DB">
        <w:rPr>
          <w:rFonts w:ascii="Times New Roman" w:hAnsi="Times New Roman" w:cs="Times New Roman"/>
          <w:color w:val="403152" w:themeColor="accent4" w:themeShade="80"/>
          <w:sz w:val="24"/>
          <w:szCs w:val="24"/>
        </w:rPr>
        <w:t>Lime’s “Anticipatory Repudiation” screenplay</w:t>
      </w:r>
      <w:r>
        <w:rPr>
          <w:rFonts w:ascii="Times New Roman" w:hAnsi="Times New Roman" w:cs="Times New Roman"/>
          <w:color w:val="403152" w:themeColor="accent4" w:themeShade="80"/>
          <w:sz w:val="24"/>
          <w:szCs w:val="24"/>
        </w:rPr>
        <w:t xml:space="preserve"> did not </w:t>
      </w:r>
      <w:r w:rsidR="000857D7">
        <w:rPr>
          <w:rFonts w:ascii="Times New Roman" w:hAnsi="Times New Roman" w:cs="Times New Roman"/>
          <w:color w:val="403152" w:themeColor="accent4" w:themeShade="80"/>
          <w:sz w:val="24"/>
          <w:szCs w:val="24"/>
        </w:rPr>
        <w:t xml:space="preserve">fit with </w:t>
      </w:r>
      <w:r w:rsidR="000857D7" w:rsidRPr="00176EF1">
        <w:rPr>
          <w:rFonts w:ascii="Times New Roman" w:hAnsi="Times New Roman" w:cs="Times New Roman"/>
          <w:color w:val="403152" w:themeColor="accent4" w:themeShade="80"/>
          <w:sz w:val="24"/>
          <w:szCs w:val="24"/>
        </w:rPr>
        <w:t xml:space="preserve">the theme of </w:t>
      </w:r>
      <w:r w:rsidR="00C90E24" w:rsidRPr="00176EF1">
        <w:rPr>
          <w:rFonts w:ascii="Times New Roman" w:hAnsi="Times New Roman" w:cs="Times New Roman"/>
          <w:i/>
          <w:color w:val="403152" w:themeColor="accent4" w:themeShade="80"/>
          <w:sz w:val="24"/>
          <w:szCs w:val="24"/>
        </w:rPr>
        <w:t>Lawless Love</w:t>
      </w:r>
      <w:r w:rsidRPr="00176EF1">
        <w:rPr>
          <w:rFonts w:ascii="Times New Roman" w:hAnsi="Times New Roman" w:cs="Times New Roman"/>
          <w:color w:val="403152" w:themeColor="accent4" w:themeShade="80"/>
          <w:sz w:val="24"/>
          <w:szCs w:val="24"/>
        </w:rPr>
        <w:t>, and OGS did not use the screenplay during the spring 2010 television season</w:t>
      </w:r>
      <w:r w:rsidR="00C90E24" w:rsidRPr="00176EF1">
        <w:rPr>
          <w:rFonts w:ascii="Times New Roman" w:hAnsi="Times New Roman" w:cs="Times New Roman"/>
          <w:i/>
          <w:color w:val="403152" w:themeColor="accent4" w:themeShade="80"/>
          <w:sz w:val="24"/>
          <w:szCs w:val="24"/>
        </w:rPr>
        <w:t xml:space="preserve">. </w:t>
      </w:r>
      <w:r w:rsidR="00C90E24" w:rsidRPr="00176EF1">
        <w:rPr>
          <w:rFonts w:ascii="Times New Roman" w:hAnsi="Times New Roman" w:cs="Times New Roman"/>
          <w:color w:val="403152" w:themeColor="accent4" w:themeShade="80"/>
          <w:sz w:val="24"/>
          <w:szCs w:val="24"/>
        </w:rPr>
        <w:t>(</w:t>
      </w:r>
      <w:bookmarkStart w:id="9" w:name="CITRUS_BOOKMARK1000000009"/>
      <w:r w:rsidR="00C1088C" w:rsidRPr="00427A13">
        <w:rPr>
          <w:rFonts w:ascii="Times New Roman" w:hAnsi="Times New Roman" w:cs="Times New Roman"/>
          <w:i/>
          <w:color w:val="403152" w:themeColor="accent4" w:themeShade="80"/>
          <w:sz w:val="24"/>
          <w:szCs w:val="24"/>
        </w:rPr>
        <w:t>Id.</w:t>
      </w:r>
      <w:r w:rsidR="00A77C8F" w:rsidRPr="00427A13">
        <w:rPr>
          <w:rFonts w:ascii="Times New Roman" w:hAnsi="Times New Roman" w:cs="Times New Roman"/>
          <w:i/>
          <w:color w:val="403152" w:themeColor="accent4" w:themeShade="80"/>
          <w:sz w:val="24"/>
          <w:szCs w:val="24"/>
        </w:rPr>
        <w:t xml:space="preserve"> </w:t>
      </w:r>
      <w:r w:rsidR="00D96FA9" w:rsidRPr="00427A13">
        <w:rPr>
          <w:rFonts w:ascii="Times New Roman" w:hAnsi="Times New Roman" w:cs="Times New Roman"/>
          <w:color w:val="403152" w:themeColor="accent4" w:themeShade="80"/>
          <w:sz w:val="24"/>
          <w:szCs w:val="24"/>
        </w:rPr>
        <w:t xml:space="preserve">¶ </w:t>
      </w:r>
      <w:r w:rsidR="00C90E24" w:rsidRPr="00427A13">
        <w:rPr>
          <w:rFonts w:ascii="Times New Roman" w:hAnsi="Times New Roman" w:cs="Times New Roman"/>
          <w:color w:val="403152" w:themeColor="accent4" w:themeShade="80"/>
          <w:sz w:val="24"/>
          <w:szCs w:val="24"/>
        </w:rPr>
        <w:t>26</w:t>
      </w:r>
      <w:bookmarkEnd w:id="9"/>
      <w:r w:rsidR="00C90E24" w:rsidRPr="00176EF1">
        <w:rPr>
          <w:rFonts w:ascii="Times New Roman" w:hAnsi="Times New Roman" w:cs="Times New Roman"/>
          <w:color w:val="403152" w:themeColor="accent4" w:themeShade="80"/>
          <w:sz w:val="24"/>
          <w:szCs w:val="24"/>
        </w:rPr>
        <w:t xml:space="preserve">.) </w:t>
      </w:r>
      <w:r w:rsidR="00D44AE0" w:rsidRPr="00176EF1">
        <w:rPr>
          <w:rFonts w:ascii="Times New Roman" w:hAnsi="Times New Roman" w:cs="Times New Roman"/>
          <w:color w:val="403152" w:themeColor="accent4" w:themeShade="80"/>
          <w:sz w:val="24"/>
          <w:szCs w:val="24"/>
        </w:rPr>
        <w:t>Later in</w:t>
      </w:r>
      <w:r w:rsidR="00820BB8" w:rsidRPr="00176EF1">
        <w:rPr>
          <w:rFonts w:ascii="Times New Roman" w:hAnsi="Times New Roman" w:cs="Times New Roman"/>
          <w:color w:val="403152" w:themeColor="accent4" w:themeShade="80"/>
          <w:sz w:val="24"/>
          <w:szCs w:val="24"/>
        </w:rPr>
        <w:t xml:space="preserve"> the summer of 2010, </w:t>
      </w:r>
      <w:r w:rsidR="00BF18B6" w:rsidRPr="00176EF1">
        <w:rPr>
          <w:rFonts w:ascii="Times New Roman" w:hAnsi="Times New Roman" w:cs="Times New Roman"/>
          <w:color w:val="403152" w:themeColor="accent4" w:themeShade="80"/>
          <w:sz w:val="24"/>
          <w:szCs w:val="24"/>
        </w:rPr>
        <w:t>Defendants</w:t>
      </w:r>
      <w:r w:rsidR="00820BB8" w:rsidRPr="00176EF1">
        <w:rPr>
          <w:rFonts w:ascii="Times New Roman" w:hAnsi="Times New Roman" w:cs="Times New Roman"/>
          <w:color w:val="403152" w:themeColor="accent4" w:themeShade="80"/>
          <w:sz w:val="24"/>
          <w:szCs w:val="24"/>
        </w:rPr>
        <w:t xml:space="preserve"> </w:t>
      </w:r>
      <w:r w:rsidR="00317A93" w:rsidRPr="00176EF1">
        <w:rPr>
          <w:rFonts w:ascii="Times New Roman" w:hAnsi="Times New Roman" w:cs="Times New Roman"/>
          <w:color w:val="403152" w:themeColor="accent4" w:themeShade="80"/>
          <w:sz w:val="24"/>
          <w:szCs w:val="24"/>
        </w:rPr>
        <w:t>jointly</w:t>
      </w:r>
      <w:r w:rsidR="00820BB8" w:rsidRPr="00176EF1">
        <w:rPr>
          <w:rFonts w:ascii="Times New Roman" w:hAnsi="Times New Roman" w:cs="Times New Roman"/>
          <w:color w:val="403152" w:themeColor="accent4" w:themeShade="80"/>
          <w:sz w:val="24"/>
          <w:szCs w:val="24"/>
        </w:rPr>
        <w:t xml:space="preserve"> </w:t>
      </w:r>
      <w:r w:rsidR="00D44AE0" w:rsidRPr="00176EF1">
        <w:rPr>
          <w:rFonts w:ascii="Times New Roman" w:hAnsi="Times New Roman" w:cs="Times New Roman"/>
          <w:color w:val="403152" w:themeColor="accent4" w:themeShade="80"/>
          <w:sz w:val="24"/>
          <w:szCs w:val="24"/>
        </w:rPr>
        <w:t xml:space="preserve">created a new television series entitled </w:t>
      </w:r>
      <w:r w:rsidR="00D44AE0" w:rsidRPr="00176EF1">
        <w:rPr>
          <w:rFonts w:ascii="Times New Roman" w:hAnsi="Times New Roman" w:cs="Times New Roman"/>
          <w:i/>
          <w:color w:val="403152" w:themeColor="accent4" w:themeShade="80"/>
          <w:sz w:val="24"/>
          <w:szCs w:val="24"/>
        </w:rPr>
        <w:t>The Tin Can</w:t>
      </w:r>
      <w:r w:rsidR="00D44AE0" w:rsidRPr="00176EF1">
        <w:rPr>
          <w:rFonts w:ascii="Times New Roman" w:hAnsi="Times New Roman" w:cs="Times New Roman"/>
          <w:color w:val="403152" w:themeColor="accent4" w:themeShade="80"/>
          <w:sz w:val="24"/>
          <w:szCs w:val="24"/>
        </w:rPr>
        <w:t xml:space="preserve"> and produced a screenplay for the pilot episode </w:t>
      </w:r>
      <w:r w:rsidR="009A6F22" w:rsidRPr="00176EF1">
        <w:rPr>
          <w:rFonts w:ascii="Times New Roman" w:hAnsi="Times New Roman" w:cs="Times New Roman"/>
          <w:color w:val="403152" w:themeColor="accent4" w:themeShade="80"/>
          <w:sz w:val="24"/>
          <w:szCs w:val="24"/>
        </w:rPr>
        <w:t xml:space="preserve">written by Lime </w:t>
      </w:r>
      <w:r w:rsidR="00D44AE0" w:rsidRPr="00176EF1">
        <w:rPr>
          <w:rFonts w:ascii="Times New Roman" w:hAnsi="Times New Roman" w:cs="Times New Roman"/>
          <w:color w:val="403152" w:themeColor="accent4" w:themeShade="80"/>
          <w:sz w:val="24"/>
          <w:szCs w:val="24"/>
        </w:rPr>
        <w:t>entitled “The Love Below</w:t>
      </w:r>
      <w:r w:rsidR="00BF18B6" w:rsidRPr="00176EF1">
        <w:rPr>
          <w:rFonts w:ascii="Times New Roman" w:hAnsi="Times New Roman" w:cs="Times New Roman"/>
          <w:color w:val="403152" w:themeColor="accent4" w:themeShade="80"/>
          <w:sz w:val="24"/>
          <w:szCs w:val="24"/>
        </w:rPr>
        <w:t>,</w:t>
      </w:r>
      <w:r w:rsidR="00D44AE0" w:rsidRPr="00176EF1">
        <w:rPr>
          <w:rFonts w:ascii="Times New Roman" w:hAnsi="Times New Roman" w:cs="Times New Roman"/>
          <w:color w:val="403152" w:themeColor="accent4" w:themeShade="80"/>
          <w:sz w:val="24"/>
          <w:szCs w:val="24"/>
        </w:rPr>
        <w:t xml:space="preserve">” </w:t>
      </w:r>
      <w:r w:rsidR="00BF18B6" w:rsidRPr="00176EF1">
        <w:rPr>
          <w:rFonts w:ascii="Times New Roman" w:hAnsi="Times New Roman" w:cs="Times New Roman"/>
          <w:color w:val="403152" w:themeColor="accent4" w:themeShade="80"/>
          <w:sz w:val="24"/>
          <w:szCs w:val="24"/>
        </w:rPr>
        <w:t>with</w:t>
      </w:r>
      <w:r w:rsidR="00D44AE0" w:rsidRPr="00176EF1">
        <w:rPr>
          <w:rFonts w:ascii="Times New Roman" w:hAnsi="Times New Roman" w:cs="Times New Roman"/>
          <w:color w:val="403152" w:themeColor="accent4" w:themeShade="80"/>
          <w:sz w:val="24"/>
          <w:szCs w:val="24"/>
        </w:rPr>
        <w:t xml:space="preserve"> dialogue, characters, and storylines </w:t>
      </w:r>
      <w:r w:rsidR="00317A93" w:rsidRPr="00176EF1">
        <w:rPr>
          <w:rFonts w:ascii="Times New Roman" w:hAnsi="Times New Roman" w:cs="Times New Roman"/>
          <w:color w:val="403152" w:themeColor="accent4" w:themeShade="80"/>
          <w:sz w:val="24"/>
          <w:szCs w:val="24"/>
        </w:rPr>
        <w:t xml:space="preserve">identical to those in </w:t>
      </w:r>
      <w:r w:rsidR="00D44AE0" w:rsidRPr="00176EF1">
        <w:rPr>
          <w:rFonts w:ascii="Times New Roman" w:hAnsi="Times New Roman" w:cs="Times New Roman"/>
          <w:color w:val="403152" w:themeColor="accent4" w:themeShade="80"/>
          <w:sz w:val="24"/>
          <w:szCs w:val="24"/>
        </w:rPr>
        <w:t xml:space="preserve">“Anticipatory Repudiation,” </w:t>
      </w:r>
      <w:r w:rsidR="00BF18B6" w:rsidRPr="00176EF1">
        <w:rPr>
          <w:rFonts w:ascii="Times New Roman" w:hAnsi="Times New Roman" w:cs="Times New Roman"/>
          <w:color w:val="403152" w:themeColor="accent4" w:themeShade="80"/>
          <w:sz w:val="24"/>
          <w:szCs w:val="24"/>
        </w:rPr>
        <w:t xml:space="preserve">all </w:t>
      </w:r>
      <w:r w:rsidR="00D44AE0" w:rsidRPr="00176EF1">
        <w:rPr>
          <w:rFonts w:ascii="Times New Roman" w:hAnsi="Times New Roman" w:cs="Times New Roman"/>
          <w:color w:val="403152" w:themeColor="accent4" w:themeShade="80"/>
          <w:sz w:val="24"/>
          <w:szCs w:val="24"/>
        </w:rPr>
        <w:t xml:space="preserve">without the knowledge or consent </w:t>
      </w:r>
      <w:r w:rsidR="00D44AE0" w:rsidRPr="00176EF1">
        <w:rPr>
          <w:rFonts w:ascii="Times New Roman" w:hAnsi="Times New Roman" w:cs="Times New Roman"/>
          <w:color w:val="403152" w:themeColor="accent4" w:themeShade="80"/>
          <w:sz w:val="24"/>
          <w:szCs w:val="24"/>
        </w:rPr>
        <w:lastRenderedPageBreak/>
        <w:t xml:space="preserve">of </w:t>
      </w:r>
      <w:r w:rsidRPr="00176EF1">
        <w:rPr>
          <w:rFonts w:ascii="Times New Roman" w:hAnsi="Times New Roman" w:cs="Times New Roman"/>
          <w:color w:val="403152" w:themeColor="accent4" w:themeShade="80"/>
          <w:sz w:val="24"/>
          <w:szCs w:val="24"/>
        </w:rPr>
        <w:t>OGS</w:t>
      </w:r>
      <w:r w:rsidR="00D44AE0" w:rsidRPr="00176EF1">
        <w:rPr>
          <w:rFonts w:ascii="Times New Roman" w:hAnsi="Times New Roman" w:cs="Times New Roman"/>
          <w:color w:val="403152" w:themeColor="accent4" w:themeShade="80"/>
          <w:sz w:val="24"/>
          <w:szCs w:val="24"/>
        </w:rPr>
        <w:t>. (</w:t>
      </w:r>
      <w:bookmarkStart w:id="10" w:name="CITRUS_BOOKMARK1000000010"/>
      <w:r w:rsidR="00C1088C" w:rsidRPr="00427A13">
        <w:rPr>
          <w:rFonts w:ascii="Times New Roman" w:hAnsi="Times New Roman" w:cs="Times New Roman"/>
          <w:i/>
          <w:color w:val="403152" w:themeColor="accent4" w:themeShade="80"/>
          <w:sz w:val="24"/>
          <w:szCs w:val="24"/>
        </w:rPr>
        <w:t>Id.</w:t>
      </w:r>
      <w:r w:rsidR="00F810C4" w:rsidRPr="00427A13">
        <w:rPr>
          <w:rFonts w:ascii="Times New Roman" w:hAnsi="Times New Roman" w:cs="Times New Roman"/>
          <w:color w:val="403152" w:themeColor="accent4" w:themeShade="80"/>
          <w:sz w:val="24"/>
          <w:szCs w:val="24"/>
        </w:rPr>
        <w:t xml:space="preserve"> ¶¶</w:t>
      </w:r>
      <w:r w:rsidR="00C7450C" w:rsidRPr="00427A13">
        <w:rPr>
          <w:rFonts w:ascii="Times New Roman" w:hAnsi="Times New Roman" w:cs="Times New Roman"/>
          <w:color w:val="403152" w:themeColor="accent4" w:themeShade="80"/>
          <w:sz w:val="24"/>
          <w:szCs w:val="24"/>
        </w:rPr>
        <w:t xml:space="preserve"> </w:t>
      </w:r>
      <w:r w:rsidR="00F810C4" w:rsidRPr="00427A13">
        <w:rPr>
          <w:rFonts w:ascii="Times New Roman" w:hAnsi="Times New Roman" w:cs="Times New Roman"/>
          <w:color w:val="403152" w:themeColor="accent4" w:themeShade="80"/>
          <w:sz w:val="24"/>
          <w:szCs w:val="24"/>
        </w:rPr>
        <w:t>27</w:t>
      </w:r>
      <w:bookmarkEnd w:id="10"/>
      <w:r w:rsidR="000D6CC5" w:rsidRPr="00176EF1">
        <w:rPr>
          <w:rFonts w:ascii="Times New Roman" w:hAnsi="Times New Roman" w:cs="Times New Roman"/>
          <w:color w:val="403152" w:themeColor="accent4" w:themeShade="80"/>
          <w:sz w:val="24"/>
          <w:szCs w:val="24"/>
        </w:rPr>
        <w:t>—</w:t>
      </w:r>
      <w:r w:rsidR="00F810C4" w:rsidRPr="00176EF1">
        <w:rPr>
          <w:rFonts w:ascii="Times New Roman" w:hAnsi="Times New Roman" w:cs="Times New Roman"/>
          <w:color w:val="403152" w:themeColor="accent4" w:themeShade="80"/>
          <w:sz w:val="24"/>
          <w:szCs w:val="24"/>
        </w:rPr>
        <w:t>2</w:t>
      </w:r>
      <w:r w:rsidR="00820BB8" w:rsidRPr="00176EF1">
        <w:rPr>
          <w:rFonts w:ascii="Times New Roman" w:hAnsi="Times New Roman" w:cs="Times New Roman"/>
          <w:color w:val="403152" w:themeColor="accent4" w:themeShade="80"/>
          <w:sz w:val="24"/>
          <w:szCs w:val="24"/>
        </w:rPr>
        <w:t>9</w:t>
      </w:r>
      <w:r w:rsidR="00D44AE0" w:rsidRPr="00176EF1">
        <w:rPr>
          <w:rFonts w:ascii="Times New Roman" w:hAnsi="Times New Roman" w:cs="Times New Roman"/>
          <w:color w:val="403152" w:themeColor="accent4" w:themeShade="80"/>
          <w:sz w:val="24"/>
          <w:szCs w:val="24"/>
        </w:rPr>
        <w:t>, 31</w:t>
      </w:r>
      <w:r w:rsidR="00F810C4" w:rsidRPr="00176EF1">
        <w:rPr>
          <w:rFonts w:ascii="Times New Roman" w:hAnsi="Times New Roman" w:cs="Times New Roman"/>
          <w:color w:val="403152" w:themeColor="accent4" w:themeShade="80"/>
          <w:sz w:val="24"/>
          <w:szCs w:val="24"/>
        </w:rPr>
        <w:t xml:space="preserve">; Answer </w:t>
      </w:r>
      <w:r w:rsidR="00C7450C" w:rsidRPr="00176EF1">
        <w:rPr>
          <w:rFonts w:ascii="Times New Roman" w:hAnsi="Times New Roman" w:cs="Times New Roman"/>
          <w:color w:val="403152" w:themeColor="accent4" w:themeShade="80"/>
          <w:sz w:val="24"/>
          <w:szCs w:val="24"/>
        </w:rPr>
        <w:t xml:space="preserve">¶ </w:t>
      </w:r>
      <w:r w:rsidR="009F31E1" w:rsidRPr="00176EF1">
        <w:rPr>
          <w:rFonts w:ascii="Times New Roman" w:hAnsi="Times New Roman" w:cs="Times New Roman"/>
          <w:color w:val="403152" w:themeColor="accent4" w:themeShade="80"/>
          <w:sz w:val="24"/>
          <w:szCs w:val="24"/>
        </w:rPr>
        <w:t>2</w:t>
      </w:r>
      <w:r w:rsidR="00D44AE0" w:rsidRPr="00176EF1">
        <w:rPr>
          <w:rFonts w:ascii="Times New Roman" w:hAnsi="Times New Roman" w:cs="Times New Roman"/>
          <w:color w:val="403152" w:themeColor="accent4" w:themeShade="80"/>
          <w:sz w:val="24"/>
          <w:szCs w:val="24"/>
        </w:rPr>
        <w:t xml:space="preserve">.) </w:t>
      </w:r>
      <w:r w:rsidRPr="00176EF1">
        <w:rPr>
          <w:rFonts w:ascii="Times New Roman" w:hAnsi="Times New Roman" w:cs="Times New Roman"/>
          <w:color w:val="403152" w:themeColor="accent4" w:themeShade="80"/>
          <w:sz w:val="24"/>
          <w:szCs w:val="24"/>
        </w:rPr>
        <w:t>TTV</w:t>
      </w:r>
      <w:r w:rsidR="00820BB8" w:rsidRPr="00176EF1">
        <w:rPr>
          <w:rFonts w:ascii="Times New Roman" w:hAnsi="Times New Roman" w:cs="Times New Roman"/>
          <w:color w:val="403152" w:themeColor="accent4" w:themeShade="80"/>
          <w:sz w:val="24"/>
          <w:szCs w:val="24"/>
        </w:rPr>
        <w:t xml:space="preserve"> </w:t>
      </w:r>
      <w:r w:rsidR="00FB1805" w:rsidRPr="00176EF1">
        <w:rPr>
          <w:rFonts w:ascii="Times New Roman" w:hAnsi="Times New Roman" w:cs="Times New Roman"/>
          <w:color w:val="403152" w:themeColor="accent4" w:themeShade="80"/>
          <w:sz w:val="24"/>
          <w:szCs w:val="24"/>
        </w:rPr>
        <w:t>broadcasted</w:t>
      </w:r>
      <w:r w:rsidR="00D44AE0" w:rsidRPr="00176EF1">
        <w:rPr>
          <w:rFonts w:ascii="Times New Roman" w:hAnsi="Times New Roman" w:cs="Times New Roman"/>
          <w:color w:val="403152" w:themeColor="accent4" w:themeShade="80"/>
          <w:sz w:val="24"/>
          <w:szCs w:val="24"/>
        </w:rPr>
        <w:t xml:space="preserve"> the episode </w:t>
      </w:r>
      <w:r w:rsidR="00FB1805" w:rsidRPr="00176EF1">
        <w:rPr>
          <w:rFonts w:ascii="Times New Roman" w:hAnsi="Times New Roman" w:cs="Times New Roman"/>
          <w:color w:val="403152" w:themeColor="accent4" w:themeShade="80"/>
          <w:sz w:val="24"/>
          <w:szCs w:val="24"/>
        </w:rPr>
        <w:t xml:space="preserve">to the public throughout the United States </w:t>
      </w:r>
      <w:r w:rsidR="00D44AE0" w:rsidRPr="00176EF1">
        <w:rPr>
          <w:rFonts w:ascii="Times New Roman" w:hAnsi="Times New Roman" w:cs="Times New Roman"/>
          <w:color w:val="403152" w:themeColor="accent4" w:themeShade="80"/>
          <w:sz w:val="24"/>
          <w:szCs w:val="24"/>
        </w:rPr>
        <w:t>on September 7, 2010</w:t>
      </w:r>
      <w:r w:rsidR="00FB1805" w:rsidRPr="00176EF1">
        <w:rPr>
          <w:rFonts w:ascii="Times New Roman" w:hAnsi="Times New Roman" w:cs="Times New Roman"/>
          <w:color w:val="403152" w:themeColor="accent4" w:themeShade="80"/>
          <w:sz w:val="24"/>
          <w:szCs w:val="24"/>
        </w:rPr>
        <w:t>, for the sole purpose of profit to the Defendants. (</w:t>
      </w:r>
      <w:proofErr w:type="spellStart"/>
      <w:r w:rsidR="00F810C4" w:rsidRPr="00176EF1">
        <w:rPr>
          <w:rFonts w:ascii="Times New Roman" w:hAnsi="Times New Roman" w:cs="Times New Roman"/>
          <w:color w:val="403152" w:themeColor="accent4" w:themeShade="80"/>
          <w:sz w:val="24"/>
          <w:szCs w:val="24"/>
        </w:rPr>
        <w:t>Compl</w:t>
      </w:r>
      <w:proofErr w:type="spellEnd"/>
      <w:r w:rsidR="00F810C4" w:rsidRPr="00176EF1">
        <w:rPr>
          <w:rFonts w:ascii="Times New Roman" w:hAnsi="Times New Roman" w:cs="Times New Roman"/>
          <w:color w:val="403152" w:themeColor="accent4" w:themeShade="80"/>
          <w:sz w:val="24"/>
          <w:szCs w:val="24"/>
        </w:rPr>
        <w:t xml:space="preserve">. </w:t>
      </w:r>
      <w:r w:rsidR="00C7450C" w:rsidRPr="00176EF1">
        <w:rPr>
          <w:rFonts w:ascii="Times New Roman" w:hAnsi="Times New Roman" w:cs="Times New Roman"/>
          <w:color w:val="403152" w:themeColor="accent4" w:themeShade="80"/>
          <w:sz w:val="24"/>
          <w:szCs w:val="24"/>
        </w:rPr>
        <w:t xml:space="preserve">¶ </w:t>
      </w:r>
      <w:r w:rsidR="00FB1805" w:rsidRPr="00176EF1">
        <w:rPr>
          <w:rFonts w:ascii="Times New Roman" w:hAnsi="Times New Roman" w:cs="Times New Roman"/>
          <w:color w:val="403152" w:themeColor="accent4" w:themeShade="80"/>
          <w:sz w:val="24"/>
          <w:szCs w:val="24"/>
        </w:rPr>
        <w:t>29.)</w:t>
      </w:r>
      <w:r w:rsidR="006F6169" w:rsidRPr="00176EF1">
        <w:rPr>
          <w:rFonts w:ascii="Times New Roman" w:hAnsi="Times New Roman" w:cs="Times New Roman"/>
          <w:color w:val="403152" w:themeColor="accent4" w:themeShade="80"/>
          <w:sz w:val="24"/>
          <w:szCs w:val="24"/>
        </w:rPr>
        <w:t xml:space="preserve"> OGS seeks injunctive relief from the infringement of its copyrighted work by</w:t>
      </w:r>
      <w:r w:rsidR="006F6169" w:rsidRPr="00E519DB">
        <w:rPr>
          <w:rFonts w:ascii="Times New Roman" w:hAnsi="Times New Roman" w:cs="Times New Roman"/>
          <w:color w:val="403152" w:themeColor="accent4" w:themeShade="80"/>
          <w:sz w:val="24"/>
          <w:szCs w:val="24"/>
        </w:rPr>
        <w:t xml:space="preserve"> Defendants, and </w:t>
      </w:r>
      <w:r w:rsidR="006F6169">
        <w:rPr>
          <w:rFonts w:ascii="Times New Roman" w:hAnsi="Times New Roman" w:cs="Times New Roman"/>
          <w:color w:val="403152" w:themeColor="accent4" w:themeShade="80"/>
          <w:sz w:val="24"/>
          <w:szCs w:val="24"/>
        </w:rPr>
        <w:t>monetary damages for</w:t>
      </w:r>
      <w:r w:rsidR="006F6169" w:rsidRPr="00E519DB">
        <w:rPr>
          <w:rFonts w:ascii="Times New Roman" w:hAnsi="Times New Roman" w:cs="Times New Roman"/>
          <w:color w:val="403152" w:themeColor="accent4" w:themeShade="80"/>
          <w:sz w:val="24"/>
          <w:szCs w:val="24"/>
        </w:rPr>
        <w:t xml:space="preserve"> lost advertising revenue and the lost value of Lime’s fee for the screenplay. (</w:t>
      </w:r>
      <w:bookmarkStart w:id="11" w:name="CITRUS_BOOKMARK1000000011"/>
      <w:r w:rsidR="00C1088C" w:rsidRPr="00427A13">
        <w:rPr>
          <w:rFonts w:ascii="Times New Roman" w:hAnsi="Times New Roman" w:cs="Times New Roman"/>
          <w:i/>
          <w:color w:val="403152" w:themeColor="accent4" w:themeShade="80"/>
          <w:sz w:val="24"/>
          <w:szCs w:val="24"/>
        </w:rPr>
        <w:t>Id.</w:t>
      </w:r>
      <w:r w:rsidR="006F6169" w:rsidRPr="00427A13">
        <w:rPr>
          <w:rFonts w:ascii="Times New Roman" w:hAnsi="Times New Roman" w:cs="Times New Roman"/>
          <w:color w:val="403152" w:themeColor="accent4" w:themeShade="80"/>
          <w:sz w:val="24"/>
          <w:szCs w:val="24"/>
        </w:rPr>
        <w:t xml:space="preserve"> ¶¶ 30, 32, 34</w:t>
      </w:r>
      <w:bookmarkEnd w:id="11"/>
      <w:r w:rsidR="006F6169">
        <w:rPr>
          <w:rFonts w:ascii="Times New Roman" w:hAnsi="Times New Roman" w:cs="Times New Roman"/>
          <w:color w:val="403152" w:themeColor="accent4" w:themeShade="80"/>
          <w:sz w:val="24"/>
          <w:szCs w:val="24"/>
        </w:rPr>
        <w:t>—</w:t>
      </w:r>
      <w:r w:rsidR="006F6169" w:rsidRPr="00E519DB">
        <w:rPr>
          <w:rFonts w:ascii="Times New Roman" w:hAnsi="Times New Roman" w:cs="Times New Roman"/>
          <w:color w:val="403152" w:themeColor="accent4" w:themeShade="80"/>
          <w:sz w:val="24"/>
          <w:szCs w:val="24"/>
        </w:rPr>
        <w:t>35.)</w:t>
      </w:r>
    </w:p>
    <w:p w14:paraId="33903690" w14:textId="77777777" w:rsidR="006F6169" w:rsidRPr="006F6169" w:rsidRDefault="006F6169" w:rsidP="00596F35">
      <w:pPr>
        <w:spacing w:line="480" w:lineRule="auto"/>
        <w:ind w:firstLine="720"/>
        <w:contextualSpacing/>
        <w:rPr>
          <w:rFonts w:ascii="Times New Roman" w:hAnsi="Times New Roman" w:cs="Times New Roman"/>
          <w:color w:val="403152" w:themeColor="accent4" w:themeShade="80"/>
          <w:sz w:val="24"/>
          <w:szCs w:val="24"/>
        </w:rPr>
      </w:pPr>
      <w:r>
        <w:rPr>
          <w:rFonts w:ascii="Times New Roman" w:hAnsi="Times New Roman" w:cs="Times New Roman"/>
          <w:color w:val="403152" w:themeColor="accent4" w:themeShade="80"/>
          <w:sz w:val="24"/>
          <w:szCs w:val="24"/>
        </w:rPr>
        <w:t xml:space="preserve">The Court requested briefs on how it should construe </w:t>
      </w:r>
      <w:bookmarkStart w:id="12" w:name="CITRUS_BOOKMARK1000000012"/>
      <w:r w:rsidR="002912A0">
        <w:rPr>
          <w:rFonts w:ascii="Times New Roman" w:hAnsi="Times New Roman" w:cs="Times New Roman"/>
          <w:color w:val="403152" w:themeColor="accent4" w:themeShade="80"/>
          <w:sz w:val="24"/>
          <w:szCs w:val="24"/>
        </w:rPr>
        <w:t>17 U.S.C. §101(2)</w:t>
      </w:r>
      <w:bookmarkEnd w:id="12"/>
      <w:r>
        <w:rPr>
          <w:rFonts w:ascii="Times New Roman" w:hAnsi="Times New Roman" w:cs="Times New Roman"/>
          <w:color w:val="403152" w:themeColor="accent4" w:themeShade="80"/>
          <w:sz w:val="24"/>
          <w:szCs w:val="24"/>
        </w:rPr>
        <w:t>. OGS now requests that the Court reject Defendants’ motion for judgment on the pleadings.</w:t>
      </w:r>
    </w:p>
    <w:p w14:paraId="3E8A039C" w14:textId="77777777" w:rsidR="00D1354C" w:rsidRPr="00E519DB" w:rsidRDefault="00D1354C" w:rsidP="00596F35">
      <w:pPr>
        <w:spacing w:line="480" w:lineRule="auto"/>
        <w:contextualSpacing/>
        <w:jc w:val="center"/>
        <w:rPr>
          <w:rFonts w:ascii="Times New Roman" w:hAnsi="Times New Roman" w:cs="Times New Roman"/>
          <w:b/>
          <w:color w:val="403152" w:themeColor="accent4" w:themeShade="80"/>
          <w:sz w:val="24"/>
          <w:szCs w:val="24"/>
          <w:u w:val="single"/>
        </w:rPr>
      </w:pPr>
      <w:r w:rsidRPr="00E519DB">
        <w:rPr>
          <w:rFonts w:ascii="Times New Roman" w:hAnsi="Times New Roman" w:cs="Times New Roman"/>
          <w:color w:val="403152" w:themeColor="accent4" w:themeShade="80"/>
          <w:sz w:val="24"/>
          <w:szCs w:val="24"/>
          <w:u w:val="single"/>
        </w:rPr>
        <w:t>ARGUMENT</w:t>
      </w:r>
    </w:p>
    <w:p w14:paraId="4FB95495" w14:textId="77777777" w:rsidR="004C76A5" w:rsidRPr="00E519DB" w:rsidRDefault="009B7C41" w:rsidP="00596F35">
      <w:pPr>
        <w:spacing w:line="480" w:lineRule="auto"/>
        <w:ind w:firstLine="720"/>
        <w:contextualSpacing/>
        <w:rPr>
          <w:rFonts w:ascii="Times New Roman" w:hAnsi="Times New Roman" w:cs="Times New Roman"/>
          <w:color w:val="403152" w:themeColor="accent4" w:themeShade="80"/>
          <w:sz w:val="24"/>
          <w:szCs w:val="24"/>
        </w:rPr>
      </w:pPr>
      <w:r>
        <w:rPr>
          <w:rFonts w:ascii="Times New Roman" w:hAnsi="Times New Roman" w:cs="Times New Roman"/>
          <w:color w:val="403152" w:themeColor="accent4" w:themeShade="80"/>
          <w:sz w:val="24"/>
          <w:szCs w:val="24"/>
        </w:rPr>
        <w:t xml:space="preserve">OGS is the author and owner of the copyright to “Anticipatory Repudiation” under the </w:t>
      </w:r>
      <w:r w:rsidR="000547BB">
        <w:rPr>
          <w:rFonts w:ascii="Times New Roman" w:hAnsi="Times New Roman" w:cs="Times New Roman"/>
          <w:color w:val="403152" w:themeColor="accent4" w:themeShade="80"/>
          <w:sz w:val="24"/>
          <w:szCs w:val="24"/>
        </w:rPr>
        <w:t xml:space="preserve">Copyright </w:t>
      </w:r>
      <w:r>
        <w:rPr>
          <w:rFonts w:ascii="Times New Roman" w:hAnsi="Times New Roman" w:cs="Times New Roman"/>
          <w:color w:val="403152" w:themeColor="accent4" w:themeShade="80"/>
          <w:sz w:val="24"/>
          <w:szCs w:val="24"/>
        </w:rPr>
        <w:t xml:space="preserve">Act. </w:t>
      </w:r>
      <w:r w:rsidR="003732E8" w:rsidRPr="00E519DB">
        <w:rPr>
          <w:rFonts w:ascii="Times New Roman" w:hAnsi="Times New Roman" w:cs="Times New Roman"/>
          <w:color w:val="403152" w:themeColor="accent4" w:themeShade="80"/>
          <w:sz w:val="24"/>
          <w:szCs w:val="24"/>
        </w:rPr>
        <w:t xml:space="preserve">Copyright safeguards the right of an author to prevent others from violating the exclusive rights of authorship set forth in </w:t>
      </w:r>
      <w:bookmarkStart w:id="13" w:name="CITRUS_BOOKMARK1000000013"/>
      <w:r w:rsidR="002912A0">
        <w:rPr>
          <w:rFonts w:ascii="Times New Roman" w:hAnsi="Times New Roman" w:cs="Times New Roman"/>
          <w:color w:val="403152" w:themeColor="accent4" w:themeShade="80"/>
          <w:sz w:val="24"/>
          <w:szCs w:val="24"/>
        </w:rPr>
        <w:t>17 U.S.C. § 106</w:t>
      </w:r>
      <w:bookmarkEnd w:id="13"/>
      <w:r w:rsidR="00C247D0">
        <w:rPr>
          <w:rFonts w:ascii="Times New Roman" w:hAnsi="Times New Roman" w:cs="Times New Roman"/>
          <w:color w:val="403152" w:themeColor="accent4" w:themeShade="80"/>
          <w:sz w:val="24"/>
          <w:szCs w:val="24"/>
        </w:rPr>
        <w:t>, which include the</w:t>
      </w:r>
      <w:r w:rsidR="00C247D0" w:rsidRPr="00E519DB">
        <w:rPr>
          <w:rFonts w:ascii="Times New Roman" w:hAnsi="Times New Roman" w:cs="Times New Roman"/>
          <w:color w:val="403152" w:themeColor="accent4" w:themeShade="80"/>
          <w:sz w:val="24"/>
          <w:szCs w:val="24"/>
        </w:rPr>
        <w:t xml:space="preserve"> </w:t>
      </w:r>
      <w:r w:rsidR="00C247D0">
        <w:rPr>
          <w:rFonts w:ascii="Times New Roman" w:hAnsi="Times New Roman" w:cs="Times New Roman"/>
          <w:color w:val="403152" w:themeColor="accent4" w:themeShade="80"/>
          <w:sz w:val="24"/>
          <w:szCs w:val="24"/>
        </w:rPr>
        <w:t xml:space="preserve">exclusive rights to display the work publically and to prepare </w:t>
      </w:r>
      <w:r w:rsidR="00C247D0" w:rsidRPr="00E519DB">
        <w:rPr>
          <w:rFonts w:ascii="Times New Roman" w:hAnsi="Times New Roman" w:cs="Times New Roman"/>
          <w:color w:val="403152" w:themeColor="accent4" w:themeShade="80"/>
          <w:sz w:val="24"/>
          <w:szCs w:val="24"/>
        </w:rPr>
        <w:t>derivative works</w:t>
      </w:r>
      <w:r w:rsidR="00C247D0">
        <w:rPr>
          <w:rFonts w:ascii="Times New Roman" w:hAnsi="Times New Roman" w:cs="Times New Roman"/>
          <w:color w:val="403152" w:themeColor="accent4" w:themeShade="80"/>
          <w:sz w:val="24"/>
          <w:szCs w:val="24"/>
        </w:rPr>
        <w:t>.</w:t>
      </w:r>
      <w:r w:rsidR="00427A13" w:rsidRPr="00427A13">
        <w:rPr>
          <w:rFonts w:ascii="Times New Roman" w:hAnsi="Times New Roman" w:cs="Times New Roman"/>
          <w:color w:val="403152" w:themeColor="accent4" w:themeShade="80"/>
          <w:sz w:val="24"/>
          <w:szCs w:val="24"/>
        </w:rPr>
        <w:t xml:space="preserve"> </w:t>
      </w:r>
      <w:bookmarkStart w:id="14" w:name="CITRUS_BOOKMARK1000000014"/>
      <w:r w:rsidR="002912A0" w:rsidRPr="00427A13">
        <w:rPr>
          <w:rFonts w:ascii="Times New Roman" w:hAnsi="Times New Roman" w:cs="Times New Roman"/>
          <w:color w:val="403152" w:themeColor="accent4" w:themeShade="80"/>
          <w:sz w:val="24"/>
          <w:szCs w:val="24"/>
        </w:rPr>
        <w:t xml:space="preserve">17 U.S.C. § </w:t>
      </w:r>
      <w:proofErr w:type="gramStart"/>
      <w:r w:rsidR="002912A0" w:rsidRPr="00427A13">
        <w:rPr>
          <w:rFonts w:ascii="Times New Roman" w:hAnsi="Times New Roman" w:cs="Times New Roman"/>
          <w:color w:val="403152" w:themeColor="accent4" w:themeShade="80"/>
          <w:sz w:val="24"/>
          <w:szCs w:val="24"/>
        </w:rPr>
        <w:t>101</w:t>
      </w:r>
      <w:r w:rsidR="00A77C8F" w:rsidRPr="00427A13">
        <w:rPr>
          <w:rFonts w:ascii="Times New Roman" w:hAnsi="Times New Roman" w:cs="Times New Roman"/>
          <w:color w:val="403152" w:themeColor="accent4" w:themeShade="80"/>
          <w:sz w:val="24"/>
          <w:szCs w:val="24"/>
        </w:rPr>
        <w:t xml:space="preserve"> </w:t>
      </w:r>
      <w:r w:rsidR="00C247D0" w:rsidRPr="00427A13">
        <w:rPr>
          <w:rFonts w:ascii="Times New Roman" w:hAnsi="Times New Roman" w:cs="Times New Roman"/>
          <w:color w:val="403152" w:themeColor="accent4" w:themeShade="80"/>
          <w:sz w:val="24"/>
          <w:szCs w:val="24"/>
        </w:rPr>
        <w:t xml:space="preserve"> et</w:t>
      </w:r>
      <w:proofErr w:type="gramEnd"/>
      <w:r w:rsidR="00C247D0" w:rsidRPr="00427A13">
        <w:rPr>
          <w:rFonts w:ascii="Times New Roman" w:hAnsi="Times New Roman" w:cs="Times New Roman"/>
          <w:color w:val="403152" w:themeColor="accent4" w:themeShade="80"/>
          <w:sz w:val="24"/>
          <w:szCs w:val="24"/>
        </w:rPr>
        <w:t xml:space="preserve"> seq</w:t>
      </w:r>
      <w:bookmarkEnd w:id="14"/>
      <w:r w:rsidR="00C247D0">
        <w:rPr>
          <w:rFonts w:ascii="Times New Roman" w:hAnsi="Times New Roman" w:cs="Times New Roman"/>
          <w:color w:val="403152" w:themeColor="accent4" w:themeShade="80"/>
          <w:sz w:val="24"/>
          <w:szCs w:val="24"/>
        </w:rPr>
        <w:t xml:space="preserve">. </w:t>
      </w:r>
      <w:r w:rsidR="004C76A5" w:rsidRPr="00E519DB">
        <w:rPr>
          <w:rFonts w:ascii="Times New Roman" w:hAnsi="Times New Roman" w:cs="Times New Roman"/>
          <w:color w:val="403152" w:themeColor="accent4" w:themeShade="80"/>
          <w:sz w:val="24"/>
          <w:szCs w:val="24"/>
        </w:rPr>
        <w:t>Ownership of a copyright originall</w:t>
      </w:r>
      <w:r w:rsidR="001675F6">
        <w:rPr>
          <w:rFonts w:ascii="Times New Roman" w:hAnsi="Times New Roman" w:cs="Times New Roman"/>
          <w:color w:val="403152" w:themeColor="accent4" w:themeShade="80"/>
          <w:sz w:val="24"/>
          <w:szCs w:val="24"/>
        </w:rPr>
        <w:t>y vests in the author of a work</w:t>
      </w:r>
      <w:r w:rsidR="00B73988" w:rsidRPr="00E519DB">
        <w:rPr>
          <w:rFonts w:ascii="Times New Roman" w:hAnsi="Times New Roman" w:cs="Times New Roman"/>
          <w:color w:val="403152" w:themeColor="accent4" w:themeShade="80"/>
          <w:sz w:val="24"/>
          <w:szCs w:val="24"/>
        </w:rPr>
        <w:t xml:space="preserve">. </w:t>
      </w:r>
      <w:bookmarkStart w:id="15" w:name="CITRUS_BOOKMARK1000000015"/>
      <w:proofErr w:type="gramStart"/>
      <w:r w:rsidR="002912A0" w:rsidRPr="00427A13">
        <w:rPr>
          <w:rFonts w:ascii="Times New Roman" w:hAnsi="Times New Roman" w:cs="Times New Roman"/>
          <w:color w:val="403152" w:themeColor="accent4" w:themeShade="80"/>
          <w:sz w:val="24"/>
          <w:szCs w:val="24"/>
        </w:rPr>
        <w:t>17 U.S.C. §201(a)</w:t>
      </w:r>
      <w:bookmarkEnd w:id="15"/>
      <w:r w:rsidR="004C76A5" w:rsidRPr="00E519DB">
        <w:rPr>
          <w:rFonts w:ascii="Times New Roman" w:hAnsi="Times New Roman" w:cs="Times New Roman"/>
          <w:color w:val="403152" w:themeColor="accent4" w:themeShade="80"/>
          <w:sz w:val="24"/>
          <w:szCs w:val="24"/>
        </w:rPr>
        <w:t>.</w:t>
      </w:r>
      <w:proofErr w:type="gramEnd"/>
      <w:r w:rsidR="004C76A5" w:rsidRPr="00E519DB">
        <w:rPr>
          <w:rFonts w:ascii="Times New Roman" w:hAnsi="Times New Roman" w:cs="Times New Roman"/>
          <w:color w:val="403152" w:themeColor="accent4" w:themeShade="80"/>
          <w:sz w:val="24"/>
          <w:szCs w:val="24"/>
        </w:rPr>
        <w:t xml:space="preserve"> </w:t>
      </w:r>
      <w:r w:rsidR="001675F6">
        <w:rPr>
          <w:rFonts w:ascii="Times New Roman" w:hAnsi="Times New Roman" w:cs="Times New Roman"/>
          <w:color w:val="403152" w:themeColor="accent4" w:themeShade="80"/>
          <w:sz w:val="24"/>
          <w:szCs w:val="24"/>
        </w:rPr>
        <w:t>I</w:t>
      </w:r>
      <w:r w:rsidR="00302AC9" w:rsidRPr="00E519DB">
        <w:rPr>
          <w:rFonts w:ascii="Times New Roman" w:hAnsi="Times New Roman" w:cs="Times New Roman"/>
          <w:color w:val="403152" w:themeColor="accent4" w:themeShade="80"/>
          <w:sz w:val="24"/>
          <w:szCs w:val="24"/>
        </w:rPr>
        <w:t xml:space="preserve">f a work is “made for hire,” </w:t>
      </w:r>
      <w:r w:rsidR="004C76A5" w:rsidRPr="00E519DB">
        <w:rPr>
          <w:rFonts w:ascii="Times New Roman" w:hAnsi="Times New Roman" w:cs="Times New Roman"/>
          <w:color w:val="403152" w:themeColor="accent4" w:themeShade="80"/>
          <w:sz w:val="24"/>
          <w:szCs w:val="24"/>
        </w:rPr>
        <w:t xml:space="preserve">the “author” of </w:t>
      </w:r>
      <w:r w:rsidR="00302AC9" w:rsidRPr="00E519DB">
        <w:rPr>
          <w:rFonts w:ascii="Times New Roman" w:hAnsi="Times New Roman" w:cs="Times New Roman"/>
          <w:color w:val="403152" w:themeColor="accent4" w:themeShade="80"/>
          <w:sz w:val="24"/>
          <w:szCs w:val="24"/>
        </w:rPr>
        <w:t>the</w:t>
      </w:r>
      <w:r w:rsidR="004C76A5" w:rsidRPr="00E519DB">
        <w:rPr>
          <w:rFonts w:ascii="Times New Roman" w:hAnsi="Times New Roman" w:cs="Times New Roman"/>
          <w:color w:val="403152" w:themeColor="accent4" w:themeShade="80"/>
          <w:sz w:val="24"/>
          <w:szCs w:val="24"/>
        </w:rPr>
        <w:t xml:space="preserve"> work is </w:t>
      </w:r>
      <w:r w:rsidR="001675F6">
        <w:rPr>
          <w:rFonts w:ascii="Times New Roman" w:hAnsi="Times New Roman" w:cs="Times New Roman"/>
          <w:color w:val="403152" w:themeColor="accent4" w:themeShade="80"/>
          <w:sz w:val="24"/>
          <w:szCs w:val="24"/>
        </w:rPr>
        <w:t xml:space="preserve">either </w:t>
      </w:r>
      <w:r w:rsidR="004C76A5" w:rsidRPr="00E519DB">
        <w:rPr>
          <w:rFonts w:ascii="Times New Roman" w:hAnsi="Times New Roman" w:cs="Times New Roman"/>
          <w:color w:val="403152" w:themeColor="accent4" w:themeShade="80"/>
          <w:sz w:val="24"/>
          <w:szCs w:val="24"/>
        </w:rPr>
        <w:t xml:space="preserve">the employer or </w:t>
      </w:r>
      <w:r w:rsidR="001675F6">
        <w:rPr>
          <w:rFonts w:ascii="Times New Roman" w:hAnsi="Times New Roman" w:cs="Times New Roman"/>
          <w:color w:val="403152" w:themeColor="accent4" w:themeShade="80"/>
          <w:sz w:val="24"/>
          <w:szCs w:val="24"/>
        </w:rPr>
        <w:t>the party that commissioned the work</w:t>
      </w:r>
      <w:r w:rsidR="00302AC9" w:rsidRPr="00E519DB">
        <w:rPr>
          <w:rFonts w:ascii="Times New Roman" w:hAnsi="Times New Roman" w:cs="Times New Roman"/>
          <w:color w:val="403152" w:themeColor="accent4" w:themeShade="80"/>
          <w:sz w:val="24"/>
          <w:szCs w:val="24"/>
        </w:rPr>
        <w:t xml:space="preserve">. </w:t>
      </w:r>
      <w:bookmarkStart w:id="16" w:name="CITRUS_BOOKMARK1000000016"/>
      <w:proofErr w:type="gramStart"/>
      <w:r w:rsidR="002912A0">
        <w:rPr>
          <w:rFonts w:ascii="Times New Roman" w:hAnsi="Times New Roman" w:cs="Times New Roman"/>
          <w:color w:val="403152" w:themeColor="accent4" w:themeShade="80"/>
          <w:sz w:val="24"/>
          <w:szCs w:val="24"/>
        </w:rPr>
        <w:t>17 U.S.C. § 201(b)</w:t>
      </w:r>
      <w:bookmarkEnd w:id="16"/>
      <w:r w:rsidR="00302AC9" w:rsidRPr="00E519DB">
        <w:rPr>
          <w:rFonts w:ascii="Times New Roman" w:hAnsi="Times New Roman" w:cs="Times New Roman"/>
          <w:color w:val="403152" w:themeColor="accent4" w:themeShade="80"/>
          <w:sz w:val="24"/>
          <w:szCs w:val="24"/>
        </w:rPr>
        <w:t>.</w:t>
      </w:r>
      <w:proofErr w:type="gramEnd"/>
      <w:r w:rsidR="004C76A5" w:rsidRPr="00E519DB">
        <w:rPr>
          <w:rFonts w:ascii="Times New Roman" w:hAnsi="Times New Roman" w:cs="Times New Roman"/>
          <w:color w:val="403152" w:themeColor="accent4" w:themeShade="80"/>
          <w:sz w:val="24"/>
          <w:szCs w:val="24"/>
        </w:rPr>
        <w:t xml:space="preserve"> </w:t>
      </w:r>
      <w:r w:rsidR="00302AC9" w:rsidRPr="00E519DB">
        <w:rPr>
          <w:rFonts w:ascii="Times New Roman" w:hAnsi="Times New Roman" w:cs="Times New Roman"/>
          <w:color w:val="403152" w:themeColor="accent4" w:themeShade="80"/>
          <w:sz w:val="24"/>
          <w:szCs w:val="24"/>
        </w:rPr>
        <w:t xml:space="preserve">A </w:t>
      </w:r>
      <w:r w:rsidR="004C76A5" w:rsidRPr="00E519DB">
        <w:rPr>
          <w:rFonts w:ascii="Times New Roman" w:hAnsi="Times New Roman" w:cs="Times New Roman"/>
          <w:color w:val="403152" w:themeColor="accent4" w:themeShade="80"/>
          <w:sz w:val="24"/>
          <w:szCs w:val="24"/>
        </w:rPr>
        <w:t xml:space="preserve">“work </w:t>
      </w:r>
      <w:r w:rsidR="00302AC9" w:rsidRPr="00E519DB">
        <w:rPr>
          <w:rFonts w:ascii="Times New Roman" w:hAnsi="Times New Roman" w:cs="Times New Roman"/>
          <w:color w:val="403152" w:themeColor="accent4" w:themeShade="80"/>
          <w:sz w:val="24"/>
          <w:szCs w:val="24"/>
        </w:rPr>
        <w:t>made for hire</w:t>
      </w:r>
      <w:r w:rsidR="004C76A5" w:rsidRPr="00E519DB">
        <w:rPr>
          <w:rFonts w:ascii="Times New Roman" w:hAnsi="Times New Roman" w:cs="Times New Roman"/>
          <w:color w:val="403152" w:themeColor="accent4" w:themeShade="80"/>
          <w:sz w:val="24"/>
          <w:szCs w:val="24"/>
        </w:rPr>
        <w:t>”</w:t>
      </w:r>
      <w:r w:rsidR="00302AC9" w:rsidRPr="00E519DB">
        <w:rPr>
          <w:rFonts w:ascii="Times New Roman" w:hAnsi="Times New Roman" w:cs="Times New Roman"/>
          <w:color w:val="403152" w:themeColor="accent4" w:themeShade="80"/>
          <w:sz w:val="24"/>
          <w:szCs w:val="24"/>
        </w:rPr>
        <w:t xml:space="preserve"> is identified as:</w:t>
      </w:r>
      <w:r w:rsidR="004C76A5" w:rsidRPr="00E519DB">
        <w:rPr>
          <w:rFonts w:ascii="Times New Roman" w:hAnsi="Times New Roman" w:cs="Times New Roman"/>
          <w:color w:val="403152" w:themeColor="accent4" w:themeShade="80"/>
          <w:sz w:val="24"/>
          <w:szCs w:val="24"/>
        </w:rPr>
        <w:t xml:space="preserve"> </w:t>
      </w:r>
    </w:p>
    <w:p w14:paraId="13EEBAF6" w14:textId="77777777" w:rsidR="004C76A5" w:rsidRPr="00E519DB" w:rsidRDefault="004C76A5" w:rsidP="009B7C41">
      <w:pPr>
        <w:spacing w:line="240" w:lineRule="auto"/>
        <w:ind w:left="720" w:right="720"/>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 xml:space="preserve">(1) </w:t>
      </w:r>
      <w:proofErr w:type="gramStart"/>
      <w:r w:rsidRPr="00E519DB">
        <w:rPr>
          <w:rFonts w:ascii="Times New Roman" w:hAnsi="Times New Roman" w:cs="Times New Roman"/>
          <w:color w:val="403152" w:themeColor="accent4" w:themeShade="80"/>
          <w:sz w:val="24"/>
          <w:szCs w:val="24"/>
        </w:rPr>
        <w:t>a</w:t>
      </w:r>
      <w:proofErr w:type="gramEnd"/>
      <w:r w:rsidRPr="00E519DB">
        <w:rPr>
          <w:rFonts w:ascii="Times New Roman" w:hAnsi="Times New Roman" w:cs="Times New Roman"/>
          <w:color w:val="403152" w:themeColor="accent4" w:themeShade="80"/>
          <w:sz w:val="24"/>
          <w:szCs w:val="24"/>
        </w:rPr>
        <w:t xml:space="preserve"> work prepared by an employee within the scope of his or her employment; </w:t>
      </w:r>
      <w:r w:rsidR="009B7C41">
        <w:rPr>
          <w:rFonts w:ascii="Times New Roman" w:hAnsi="Times New Roman" w:cs="Times New Roman"/>
          <w:color w:val="403152" w:themeColor="accent4" w:themeShade="80"/>
          <w:sz w:val="24"/>
          <w:szCs w:val="24"/>
        </w:rPr>
        <w:t>o</w:t>
      </w:r>
      <w:r w:rsidRPr="00E519DB">
        <w:rPr>
          <w:rFonts w:ascii="Times New Roman" w:hAnsi="Times New Roman" w:cs="Times New Roman"/>
          <w:color w:val="403152" w:themeColor="accent4" w:themeShade="80"/>
          <w:sz w:val="24"/>
          <w:szCs w:val="24"/>
        </w:rPr>
        <w:t xml:space="preserve">r </w:t>
      </w:r>
    </w:p>
    <w:p w14:paraId="4887393F" w14:textId="77777777" w:rsidR="007F64C7" w:rsidRDefault="004C76A5" w:rsidP="009B7C41">
      <w:pPr>
        <w:spacing w:line="240" w:lineRule="auto"/>
        <w:ind w:left="720" w:right="720"/>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 xml:space="preserve">(2) </w:t>
      </w:r>
      <w:proofErr w:type="gramStart"/>
      <w:r w:rsidRPr="00E519DB">
        <w:rPr>
          <w:rFonts w:ascii="Times New Roman" w:hAnsi="Times New Roman" w:cs="Times New Roman"/>
          <w:color w:val="403152" w:themeColor="accent4" w:themeShade="80"/>
          <w:sz w:val="24"/>
          <w:szCs w:val="24"/>
        </w:rPr>
        <w:t>a</w:t>
      </w:r>
      <w:proofErr w:type="gramEnd"/>
      <w:r w:rsidRPr="00E519DB">
        <w:rPr>
          <w:rFonts w:ascii="Times New Roman" w:hAnsi="Times New Roman" w:cs="Times New Roman"/>
          <w:color w:val="403152" w:themeColor="accent4" w:themeShade="80"/>
          <w:sz w:val="24"/>
          <w:szCs w:val="24"/>
        </w:rPr>
        <w:t xml:space="preserve"> work speciall</w:t>
      </w:r>
      <w:r w:rsidR="009B7C41">
        <w:rPr>
          <w:rFonts w:ascii="Times New Roman" w:hAnsi="Times New Roman" w:cs="Times New Roman"/>
          <w:color w:val="403152" w:themeColor="accent4" w:themeShade="80"/>
          <w:sz w:val="24"/>
          <w:szCs w:val="24"/>
        </w:rPr>
        <w:t>y ordered or commissioned . . .</w:t>
      </w:r>
      <w:r w:rsidRPr="00E519DB">
        <w:rPr>
          <w:rFonts w:ascii="Times New Roman" w:hAnsi="Times New Roman" w:cs="Times New Roman"/>
          <w:color w:val="403152" w:themeColor="accent4" w:themeShade="80"/>
          <w:sz w:val="24"/>
          <w:szCs w:val="24"/>
        </w:rPr>
        <w:t xml:space="preserve"> if the parties expressly agree in a written instrument signed by them that the work shall be considered a work made for hire.</w:t>
      </w:r>
    </w:p>
    <w:p w14:paraId="06AC037A" w14:textId="77777777" w:rsidR="007F64C7" w:rsidRDefault="007F64C7" w:rsidP="007F64C7">
      <w:pPr>
        <w:spacing w:line="240" w:lineRule="auto"/>
        <w:ind w:firstLine="720"/>
        <w:contextualSpacing/>
        <w:rPr>
          <w:rFonts w:ascii="Times New Roman" w:hAnsi="Times New Roman" w:cs="Times New Roman"/>
          <w:color w:val="403152" w:themeColor="accent4" w:themeShade="80"/>
          <w:sz w:val="24"/>
          <w:szCs w:val="24"/>
        </w:rPr>
      </w:pPr>
    </w:p>
    <w:p w14:paraId="100E0DC7" w14:textId="77777777" w:rsidR="003732E8" w:rsidRPr="00E519DB" w:rsidRDefault="002912A0" w:rsidP="007F64C7">
      <w:pPr>
        <w:spacing w:line="480" w:lineRule="auto"/>
        <w:contextualSpacing/>
        <w:rPr>
          <w:rFonts w:ascii="Times New Roman" w:hAnsi="Times New Roman" w:cs="Times New Roman"/>
          <w:color w:val="403152" w:themeColor="accent4" w:themeShade="80"/>
          <w:sz w:val="24"/>
          <w:szCs w:val="24"/>
        </w:rPr>
      </w:pPr>
      <w:bookmarkStart w:id="17" w:name="CITRUS_BOOKMARK1000000017"/>
      <w:proofErr w:type="gramStart"/>
      <w:r>
        <w:rPr>
          <w:rFonts w:ascii="Times New Roman" w:hAnsi="Times New Roman" w:cs="Times New Roman"/>
          <w:color w:val="403152" w:themeColor="accent4" w:themeShade="80"/>
          <w:sz w:val="24"/>
          <w:szCs w:val="24"/>
        </w:rPr>
        <w:t>17 U.S.C. § 101</w:t>
      </w:r>
      <w:bookmarkEnd w:id="17"/>
      <w:r w:rsidR="00302AC9" w:rsidRPr="00E519DB">
        <w:rPr>
          <w:rFonts w:ascii="Times New Roman" w:hAnsi="Times New Roman" w:cs="Times New Roman"/>
          <w:color w:val="403152" w:themeColor="accent4" w:themeShade="80"/>
          <w:sz w:val="24"/>
          <w:szCs w:val="24"/>
        </w:rPr>
        <w:t>.</w:t>
      </w:r>
      <w:proofErr w:type="gramEnd"/>
    </w:p>
    <w:p w14:paraId="06335673" w14:textId="77777777" w:rsidR="00B73988" w:rsidRDefault="009B7C41" w:rsidP="00B73988">
      <w:pPr>
        <w:spacing w:line="480" w:lineRule="auto"/>
        <w:ind w:firstLine="720"/>
        <w:contextualSpacing/>
        <w:rPr>
          <w:rFonts w:ascii="Times New Roman" w:hAnsi="Times New Roman" w:cs="Times New Roman"/>
          <w:color w:val="403152" w:themeColor="accent4" w:themeShade="80"/>
          <w:sz w:val="24"/>
          <w:szCs w:val="24"/>
        </w:rPr>
      </w:pPr>
      <w:r>
        <w:rPr>
          <w:rFonts w:ascii="Times New Roman" w:hAnsi="Times New Roman" w:cs="Times New Roman"/>
          <w:color w:val="403152" w:themeColor="accent4" w:themeShade="80"/>
          <w:sz w:val="24"/>
          <w:szCs w:val="24"/>
        </w:rPr>
        <w:t xml:space="preserve">Defendants have violated OGS’s copyright because </w:t>
      </w:r>
      <w:bookmarkStart w:id="18" w:name="CITRUS_BOOKMARK1000000018"/>
      <w:r w:rsidR="002912A0">
        <w:rPr>
          <w:rFonts w:ascii="Times New Roman" w:hAnsi="Times New Roman" w:cs="Times New Roman"/>
          <w:color w:val="403152" w:themeColor="accent4" w:themeShade="80"/>
          <w:sz w:val="24"/>
          <w:szCs w:val="24"/>
        </w:rPr>
        <w:t>17 U.S.C. § 101(2)</w:t>
      </w:r>
      <w:bookmarkEnd w:id="18"/>
      <w:r w:rsidR="00A77C8F">
        <w:rPr>
          <w:rFonts w:ascii="Times New Roman" w:hAnsi="Times New Roman" w:cs="Times New Roman"/>
          <w:color w:val="403152" w:themeColor="accent4" w:themeShade="80"/>
          <w:sz w:val="24"/>
          <w:szCs w:val="24"/>
        </w:rPr>
        <w:t xml:space="preserve"> </w:t>
      </w:r>
      <w:r>
        <w:rPr>
          <w:rFonts w:ascii="Times New Roman" w:hAnsi="Times New Roman" w:cs="Times New Roman"/>
          <w:color w:val="403152" w:themeColor="accent4" w:themeShade="80"/>
          <w:sz w:val="24"/>
          <w:szCs w:val="24"/>
        </w:rPr>
        <w:t xml:space="preserve">does not state that </w:t>
      </w:r>
      <w:r w:rsidR="007351FE" w:rsidRPr="00E519DB">
        <w:rPr>
          <w:rFonts w:ascii="Times New Roman" w:hAnsi="Times New Roman" w:cs="Times New Roman"/>
          <w:color w:val="403152" w:themeColor="accent4" w:themeShade="80"/>
          <w:sz w:val="24"/>
          <w:szCs w:val="24"/>
        </w:rPr>
        <w:t>t</w:t>
      </w:r>
      <w:r>
        <w:rPr>
          <w:rFonts w:ascii="Times New Roman" w:hAnsi="Times New Roman" w:cs="Times New Roman"/>
          <w:color w:val="403152" w:themeColor="accent4" w:themeShade="80"/>
          <w:sz w:val="24"/>
          <w:szCs w:val="24"/>
        </w:rPr>
        <w:t xml:space="preserve">he signed writing requirement </w:t>
      </w:r>
      <w:r w:rsidR="007351FE" w:rsidRPr="00E519DB">
        <w:rPr>
          <w:rFonts w:ascii="Times New Roman" w:hAnsi="Times New Roman" w:cs="Times New Roman"/>
          <w:color w:val="403152" w:themeColor="accent4" w:themeShade="80"/>
          <w:sz w:val="24"/>
          <w:szCs w:val="24"/>
        </w:rPr>
        <w:t xml:space="preserve">needs to precede the creation of the work in order for the work to be considered “made for hire.” </w:t>
      </w:r>
      <w:r>
        <w:rPr>
          <w:rFonts w:ascii="Times New Roman" w:hAnsi="Times New Roman" w:cs="Times New Roman"/>
          <w:color w:val="403152" w:themeColor="accent4" w:themeShade="80"/>
          <w:sz w:val="24"/>
          <w:szCs w:val="24"/>
        </w:rPr>
        <w:t>The</w:t>
      </w:r>
      <w:r w:rsidR="00B73988" w:rsidRPr="00E519DB">
        <w:rPr>
          <w:rFonts w:ascii="Times New Roman" w:hAnsi="Times New Roman" w:cs="Times New Roman"/>
          <w:color w:val="403152" w:themeColor="accent4" w:themeShade="80"/>
          <w:sz w:val="24"/>
          <w:szCs w:val="24"/>
        </w:rPr>
        <w:t xml:space="preserve"> plain meaning of the </w:t>
      </w:r>
      <w:r w:rsidR="000547BB">
        <w:rPr>
          <w:rFonts w:ascii="Times New Roman" w:hAnsi="Times New Roman" w:cs="Times New Roman"/>
          <w:color w:val="403152" w:themeColor="accent4" w:themeShade="80"/>
          <w:sz w:val="24"/>
          <w:szCs w:val="24"/>
        </w:rPr>
        <w:t xml:space="preserve">Copyright </w:t>
      </w:r>
      <w:r w:rsidR="00B73988" w:rsidRPr="00E519DB">
        <w:rPr>
          <w:rFonts w:ascii="Times New Roman" w:hAnsi="Times New Roman" w:cs="Times New Roman"/>
          <w:color w:val="403152" w:themeColor="accent4" w:themeShade="80"/>
          <w:sz w:val="24"/>
          <w:szCs w:val="24"/>
        </w:rPr>
        <w:t xml:space="preserve">Act, legislative history and relevant case law all demonstrate that a post-creation execution of a signed writing that confirms </w:t>
      </w:r>
      <w:r w:rsidR="00B73988" w:rsidRPr="00E519DB">
        <w:rPr>
          <w:rFonts w:ascii="Times New Roman" w:hAnsi="Times New Roman" w:cs="Times New Roman"/>
          <w:color w:val="403152" w:themeColor="accent4" w:themeShade="80"/>
          <w:sz w:val="24"/>
          <w:szCs w:val="24"/>
        </w:rPr>
        <w:lastRenderedPageBreak/>
        <w:t xml:space="preserve">a prior oral agreement can be sufficient to meet the requirement in question, making </w:t>
      </w:r>
      <w:r>
        <w:rPr>
          <w:rFonts w:ascii="Times New Roman" w:hAnsi="Times New Roman" w:cs="Times New Roman"/>
          <w:color w:val="403152" w:themeColor="accent4" w:themeShade="80"/>
          <w:sz w:val="24"/>
          <w:szCs w:val="24"/>
        </w:rPr>
        <w:t>OGS</w:t>
      </w:r>
      <w:r w:rsidR="00B73988" w:rsidRPr="00E519DB">
        <w:rPr>
          <w:rFonts w:ascii="Times New Roman" w:hAnsi="Times New Roman" w:cs="Times New Roman"/>
          <w:color w:val="403152" w:themeColor="accent4" w:themeShade="80"/>
          <w:sz w:val="24"/>
          <w:szCs w:val="24"/>
        </w:rPr>
        <w:t xml:space="preserve"> the author and therefore the owner of the screenplay ent</w:t>
      </w:r>
      <w:r>
        <w:rPr>
          <w:rFonts w:ascii="Times New Roman" w:hAnsi="Times New Roman" w:cs="Times New Roman"/>
          <w:color w:val="403152" w:themeColor="accent4" w:themeShade="80"/>
          <w:sz w:val="24"/>
          <w:szCs w:val="24"/>
        </w:rPr>
        <w:t>itled “Anticipatory Repudiation.</w:t>
      </w:r>
      <w:r w:rsidR="00B73988" w:rsidRPr="00E519DB">
        <w:rPr>
          <w:rFonts w:ascii="Times New Roman" w:hAnsi="Times New Roman" w:cs="Times New Roman"/>
          <w:color w:val="403152" w:themeColor="accent4" w:themeShade="80"/>
          <w:sz w:val="24"/>
          <w:szCs w:val="24"/>
        </w:rPr>
        <w:t>”</w:t>
      </w:r>
    </w:p>
    <w:p w14:paraId="7A88345E" w14:textId="77777777" w:rsidR="00D1354C" w:rsidRPr="0012223E" w:rsidRDefault="00947ED6" w:rsidP="00596F35">
      <w:pPr>
        <w:pStyle w:val="ListParagraph"/>
        <w:numPr>
          <w:ilvl w:val="0"/>
          <w:numId w:val="2"/>
        </w:numPr>
        <w:spacing w:line="240" w:lineRule="auto"/>
        <w:rPr>
          <w:rFonts w:ascii="Times New Roman" w:hAnsi="Times New Roman" w:cs="Times New Roman"/>
          <w:b/>
          <w:color w:val="403152" w:themeColor="accent4" w:themeShade="80"/>
          <w:sz w:val="24"/>
          <w:szCs w:val="24"/>
        </w:rPr>
      </w:pPr>
      <w:r w:rsidRPr="0012223E">
        <w:rPr>
          <w:rFonts w:ascii="Times New Roman" w:hAnsi="Times New Roman" w:cs="Times New Roman"/>
          <w:b/>
          <w:color w:val="403152" w:themeColor="accent4" w:themeShade="80"/>
          <w:sz w:val="24"/>
          <w:szCs w:val="24"/>
        </w:rPr>
        <w:t xml:space="preserve">The Plain Text Of The </w:t>
      </w:r>
      <w:r w:rsidR="001502F9">
        <w:rPr>
          <w:rFonts w:ascii="Times New Roman" w:hAnsi="Times New Roman" w:cs="Times New Roman"/>
          <w:b/>
          <w:color w:val="403152" w:themeColor="accent4" w:themeShade="80"/>
          <w:sz w:val="24"/>
          <w:szCs w:val="24"/>
        </w:rPr>
        <w:t xml:space="preserve">Copyright </w:t>
      </w:r>
      <w:r w:rsidRPr="0012223E">
        <w:rPr>
          <w:rFonts w:ascii="Times New Roman" w:hAnsi="Times New Roman" w:cs="Times New Roman"/>
          <w:b/>
          <w:color w:val="403152" w:themeColor="accent4" w:themeShade="80"/>
          <w:sz w:val="24"/>
          <w:szCs w:val="24"/>
        </w:rPr>
        <w:t>Act</w:t>
      </w:r>
      <w:r w:rsidR="0012223E" w:rsidRPr="0012223E">
        <w:rPr>
          <w:rFonts w:ascii="Times New Roman" w:hAnsi="Times New Roman" w:cs="Times New Roman"/>
          <w:b/>
          <w:color w:val="403152" w:themeColor="accent4" w:themeShade="80"/>
          <w:sz w:val="24"/>
          <w:szCs w:val="24"/>
        </w:rPr>
        <w:t xml:space="preserve"> </w:t>
      </w:r>
      <w:r w:rsidR="0012223E">
        <w:rPr>
          <w:rFonts w:ascii="Times New Roman" w:hAnsi="Times New Roman" w:cs="Times New Roman"/>
          <w:b/>
          <w:color w:val="403152" w:themeColor="accent4" w:themeShade="80"/>
          <w:sz w:val="24"/>
          <w:szCs w:val="24"/>
        </w:rPr>
        <w:t xml:space="preserve">Does Not Require The Signed </w:t>
      </w:r>
      <w:r w:rsidR="001502F9">
        <w:rPr>
          <w:rFonts w:ascii="Times New Roman" w:hAnsi="Times New Roman" w:cs="Times New Roman"/>
          <w:b/>
          <w:color w:val="403152" w:themeColor="accent4" w:themeShade="80"/>
          <w:sz w:val="24"/>
          <w:szCs w:val="24"/>
        </w:rPr>
        <w:t>Written Agreement</w:t>
      </w:r>
      <w:r w:rsidR="0012223E">
        <w:rPr>
          <w:rFonts w:ascii="Times New Roman" w:hAnsi="Times New Roman" w:cs="Times New Roman"/>
          <w:b/>
          <w:color w:val="403152" w:themeColor="accent4" w:themeShade="80"/>
          <w:sz w:val="24"/>
          <w:szCs w:val="24"/>
        </w:rPr>
        <w:t xml:space="preserve"> To</w:t>
      </w:r>
      <w:r w:rsidR="00C01AE2" w:rsidRPr="0012223E">
        <w:rPr>
          <w:rFonts w:ascii="Times New Roman" w:hAnsi="Times New Roman" w:cs="Times New Roman"/>
          <w:b/>
          <w:color w:val="403152" w:themeColor="accent4" w:themeShade="80"/>
          <w:sz w:val="24"/>
          <w:szCs w:val="24"/>
        </w:rPr>
        <w:t xml:space="preserve"> Precede </w:t>
      </w:r>
      <w:r w:rsidR="0012223E">
        <w:rPr>
          <w:rFonts w:ascii="Times New Roman" w:hAnsi="Times New Roman" w:cs="Times New Roman"/>
          <w:b/>
          <w:color w:val="403152" w:themeColor="accent4" w:themeShade="80"/>
          <w:sz w:val="24"/>
          <w:szCs w:val="24"/>
        </w:rPr>
        <w:t xml:space="preserve">The </w:t>
      </w:r>
      <w:r w:rsidR="00C01AE2" w:rsidRPr="0012223E">
        <w:rPr>
          <w:rFonts w:ascii="Times New Roman" w:hAnsi="Times New Roman" w:cs="Times New Roman"/>
          <w:b/>
          <w:color w:val="403152" w:themeColor="accent4" w:themeShade="80"/>
          <w:sz w:val="24"/>
          <w:szCs w:val="24"/>
        </w:rPr>
        <w:t xml:space="preserve">Creation Of </w:t>
      </w:r>
      <w:r w:rsidR="00887210">
        <w:rPr>
          <w:rFonts w:ascii="Times New Roman" w:hAnsi="Times New Roman" w:cs="Times New Roman"/>
          <w:b/>
          <w:color w:val="403152" w:themeColor="accent4" w:themeShade="80"/>
          <w:sz w:val="24"/>
          <w:szCs w:val="24"/>
        </w:rPr>
        <w:t xml:space="preserve">“Anticipatory Repudiation” As </w:t>
      </w:r>
      <w:r w:rsidR="0012223E">
        <w:rPr>
          <w:rFonts w:ascii="Times New Roman" w:hAnsi="Times New Roman" w:cs="Times New Roman"/>
          <w:b/>
          <w:color w:val="403152" w:themeColor="accent4" w:themeShade="80"/>
          <w:sz w:val="24"/>
          <w:szCs w:val="24"/>
        </w:rPr>
        <w:t>A</w:t>
      </w:r>
      <w:r w:rsidR="00C01AE2" w:rsidRPr="0012223E">
        <w:rPr>
          <w:rFonts w:ascii="Times New Roman" w:hAnsi="Times New Roman" w:cs="Times New Roman"/>
          <w:b/>
          <w:color w:val="403152" w:themeColor="accent4" w:themeShade="80"/>
          <w:sz w:val="24"/>
          <w:szCs w:val="24"/>
        </w:rPr>
        <w:t xml:space="preserve"> Work </w:t>
      </w:r>
      <w:r w:rsidR="00887210">
        <w:rPr>
          <w:rFonts w:ascii="Times New Roman" w:hAnsi="Times New Roman" w:cs="Times New Roman"/>
          <w:b/>
          <w:color w:val="403152" w:themeColor="accent4" w:themeShade="80"/>
          <w:sz w:val="24"/>
          <w:szCs w:val="24"/>
        </w:rPr>
        <w:t>Made For Hire.</w:t>
      </w:r>
    </w:p>
    <w:p w14:paraId="564DFC00" w14:textId="77777777" w:rsidR="003B2F88" w:rsidRPr="00E519DB" w:rsidRDefault="009F2348" w:rsidP="00596F35">
      <w:pPr>
        <w:spacing w:line="480" w:lineRule="auto"/>
        <w:ind w:firstLine="720"/>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 xml:space="preserve">The starting point in resolving any question of statutory construction is the plain language of the </w:t>
      </w:r>
      <w:r w:rsidR="003B2F88" w:rsidRPr="00E519DB">
        <w:rPr>
          <w:rFonts w:ascii="Times New Roman" w:hAnsi="Times New Roman" w:cs="Times New Roman"/>
          <w:color w:val="403152" w:themeColor="accent4" w:themeShade="80"/>
          <w:sz w:val="24"/>
          <w:szCs w:val="24"/>
        </w:rPr>
        <w:t>a</w:t>
      </w:r>
      <w:r w:rsidRPr="00E519DB">
        <w:rPr>
          <w:rFonts w:ascii="Times New Roman" w:hAnsi="Times New Roman" w:cs="Times New Roman"/>
          <w:color w:val="403152" w:themeColor="accent4" w:themeShade="80"/>
          <w:sz w:val="24"/>
          <w:szCs w:val="24"/>
        </w:rPr>
        <w:t>ct</w:t>
      </w:r>
      <w:r w:rsidR="003B2F88" w:rsidRPr="00E519DB">
        <w:rPr>
          <w:rFonts w:ascii="Times New Roman" w:hAnsi="Times New Roman" w:cs="Times New Roman"/>
          <w:color w:val="403152" w:themeColor="accent4" w:themeShade="80"/>
          <w:sz w:val="24"/>
          <w:szCs w:val="24"/>
        </w:rPr>
        <w:t xml:space="preserve"> itself</w:t>
      </w:r>
      <w:r w:rsidRPr="00E519DB">
        <w:rPr>
          <w:rFonts w:ascii="Times New Roman" w:hAnsi="Times New Roman" w:cs="Times New Roman"/>
          <w:color w:val="403152" w:themeColor="accent4" w:themeShade="80"/>
          <w:sz w:val="24"/>
          <w:szCs w:val="24"/>
        </w:rPr>
        <w:t xml:space="preserve">. </w:t>
      </w:r>
      <w:bookmarkStart w:id="19" w:name="CITRUS_BOOKMARK19"/>
      <w:r w:rsidR="002912A0" w:rsidRPr="00427A13">
        <w:rPr>
          <w:rFonts w:ascii="Times New Roman" w:hAnsi="Times New Roman" w:cs="Times New Roman"/>
          <w:i/>
          <w:color w:val="403152" w:themeColor="accent4" w:themeShade="80"/>
          <w:sz w:val="24"/>
          <w:szCs w:val="24"/>
        </w:rPr>
        <w:t>United States v. Ron Pair Enters</w:t>
      </w:r>
      <w:proofErr w:type="gramStart"/>
      <w:r w:rsidR="002912A0" w:rsidRPr="00427A13">
        <w:rPr>
          <w:rFonts w:ascii="Times New Roman" w:hAnsi="Times New Roman" w:cs="Times New Roman"/>
          <w:i/>
          <w:color w:val="403152" w:themeColor="accent4" w:themeShade="80"/>
          <w:sz w:val="24"/>
          <w:szCs w:val="24"/>
        </w:rPr>
        <w:t>.</w:t>
      </w:r>
      <w:r w:rsidR="002912A0" w:rsidRPr="00C1088C">
        <w:rPr>
          <w:rFonts w:ascii="Times New Roman" w:hAnsi="Times New Roman" w:cs="Times New Roman"/>
          <w:color w:val="403152" w:themeColor="accent4" w:themeShade="80"/>
          <w:sz w:val="24"/>
          <w:szCs w:val="24"/>
        </w:rPr>
        <w:t>,</w:t>
      </w:r>
      <w:proofErr w:type="gramEnd"/>
      <w:r w:rsidR="002912A0" w:rsidRPr="00C1088C">
        <w:rPr>
          <w:rFonts w:ascii="Times New Roman" w:hAnsi="Times New Roman" w:cs="Times New Roman"/>
          <w:color w:val="403152" w:themeColor="accent4" w:themeShade="80"/>
          <w:sz w:val="24"/>
          <w:szCs w:val="24"/>
        </w:rPr>
        <w:t xml:space="preserve"> 489 U.S. 235, 241 (1989)</w:t>
      </w:r>
      <w:bookmarkEnd w:id="19"/>
      <w:r w:rsidR="003B2F88" w:rsidRPr="00E519DB">
        <w:rPr>
          <w:rFonts w:ascii="Times New Roman" w:hAnsi="Times New Roman" w:cs="Times New Roman"/>
          <w:color w:val="403152" w:themeColor="accent4" w:themeShade="80"/>
          <w:sz w:val="24"/>
          <w:szCs w:val="24"/>
        </w:rPr>
        <w:t xml:space="preserve">. </w:t>
      </w:r>
      <w:r w:rsidRPr="00E519DB">
        <w:rPr>
          <w:rFonts w:ascii="Times New Roman" w:hAnsi="Times New Roman" w:cs="Times New Roman"/>
          <w:color w:val="403152" w:themeColor="accent4" w:themeShade="80"/>
          <w:sz w:val="24"/>
          <w:szCs w:val="24"/>
        </w:rPr>
        <w:t xml:space="preserve">Legislative purpose is presumed to be expressed by the </w:t>
      </w:r>
      <w:r w:rsidRPr="00072130">
        <w:rPr>
          <w:rFonts w:ascii="Times New Roman" w:hAnsi="Times New Roman" w:cs="Times New Roman"/>
          <w:color w:val="403152" w:themeColor="accent4" w:themeShade="80"/>
          <w:sz w:val="24"/>
          <w:szCs w:val="24"/>
        </w:rPr>
        <w:t xml:space="preserve">ordinary meaning of the language of the statute. </w:t>
      </w:r>
      <w:bookmarkStart w:id="20" w:name="CITRUS_BOOKMARK28"/>
      <w:proofErr w:type="spellStart"/>
      <w:r w:rsidR="002912A0" w:rsidRPr="00427A13">
        <w:rPr>
          <w:rFonts w:ascii="Times New Roman" w:hAnsi="Times New Roman" w:cs="Times New Roman"/>
          <w:i/>
          <w:color w:val="403152" w:themeColor="accent4" w:themeShade="80"/>
          <w:sz w:val="24"/>
          <w:szCs w:val="24"/>
        </w:rPr>
        <w:t>Park'N</w:t>
      </w:r>
      <w:proofErr w:type="spellEnd"/>
      <w:r w:rsidR="002912A0" w:rsidRPr="00427A13">
        <w:rPr>
          <w:rFonts w:ascii="Times New Roman" w:hAnsi="Times New Roman" w:cs="Times New Roman"/>
          <w:i/>
          <w:color w:val="403152" w:themeColor="accent4" w:themeShade="80"/>
          <w:sz w:val="24"/>
          <w:szCs w:val="24"/>
        </w:rPr>
        <w:t xml:space="preserve"> Fly, Inc. v. Dollar Park &amp; Fly, Inc.</w:t>
      </w:r>
      <w:r w:rsidR="002912A0" w:rsidRPr="00D535DF">
        <w:rPr>
          <w:rFonts w:ascii="Times New Roman" w:hAnsi="Times New Roman" w:cs="Times New Roman"/>
          <w:color w:val="403152" w:themeColor="accent4" w:themeShade="80"/>
          <w:sz w:val="24"/>
          <w:szCs w:val="24"/>
        </w:rPr>
        <w:t>, 469 U.S. 189, 194 (1985)</w:t>
      </w:r>
      <w:bookmarkEnd w:id="20"/>
      <w:r w:rsidRPr="00072130">
        <w:rPr>
          <w:rFonts w:ascii="Times New Roman" w:hAnsi="Times New Roman" w:cs="Times New Roman"/>
          <w:color w:val="403152" w:themeColor="accent4" w:themeShade="80"/>
          <w:sz w:val="24"/>
          <w:szCs w:val="24"/>
        </w:rPr>
        <w:t>.</w:t>
      </w:r>
      <w:r w:rsidR="00072130" w:rsidRPr="00072130">
        <w:rPr>
          <w:rFonts w:ascii="Times New Roman" w:hAnsi="Times New Roman" w:cs="Times New Roman"/>
          <w:color w:val="403152" w:themeColor="accent4" w:themeShade="80"/>
          <w:sz w:val="24"/>
          <w:szCs w:val="24"/>
        </w:rPr>
        <w:t xml:space="preserve"> </w:t>
      </w:r>
      <w:r w:rsidR="003B2F88" w:rsidRPr="00072130">
        <w:rPr>
          <w:rFonts w:ascii="Times New Roman" w:hAnsi="Times New Roman" w:cs="Times New Roman"/>
          <w:color w:val="403152" w:themeColor="accent4" w:themeShade="80"/>
          <w:sz w:val="24"/>
          <w:szCs w:val="24"/>
        </w:rPr>
        <w:t>The</w:t>
      </w:r>
      <w:r w:rsidR="00F851F9">
        <w:rPr>
          <w:rFonts w:ascii="Times New Roman" w:hAnsi="Times New Roman" w:cs="Times New Roman"/>
          <w:color w:val="403152" w:themeColor="accent4" w:themeShade="80"/>
          <w:sz w:val="24"/>
          <w:szCs w:val="24"/>
        </w:rPr>
        <w:t xml:space="preserve"> plain language of the Copyright Act is unambiguous, and subsequently there is </w:t>
      </w:r>
      <w:r w:rsidR="00124A32" w:rsidRPr="00072130">
        <w:rPr>
          <w:rFonts w:ascii="Times New Roman" w:hAnsi="Times New Roman" w:cs="Times New Roman"/>
          <w:color w:val="403152" w:themeColor="accent4" w:themeShade="80"/>
          <w:sz w:val="24"/>
          <w:szCs w:val="24"/>
        </w:rPr>
        <w:t>onl</w:t>
      </w:r>
      <w:r w:rsidR="00F851F9">
        <w:rPr>
          <w:rFonts w:ascii="Times New Roman" w:hAnsi="Times New Roman" w:cs="Times New Roman"/>
          <w:color w:val="403152" w:themeColor="accent4" w:themeShade="80"/>
          <w:sz w:val="24"/>
          <w:szCs w:val="24"/>
        </w:rPr>
        <w:t xml:space="preserve">y one plausible construction </w:t>
      </w:r>
      <w:r w:rsidR="00072130" w:rsidRPr="00072130">
        <w:rPr>
          <w:rFonts w:ascii="Times New Roman" w:hAnsi="Times New Roman" w:cs="Times New Roman"/>
          <w:color w:val="403152" w:themeColor="accent4" w:themeShade="80"/>
          <w:sz w:val="24"/>
          <w:szCs w:val="24"/>
        </w:rPr>
        <w:t>when the Court applies the canonical statutory interpretive rules of negative implication and of looking at the whole statute in its entirety</w:t>
      </w:r>
      <w:r w:rsidR="004E3A2A" w:rsidRPr="00072130">
        <w:rPr>
          <w:rFonts w:ascii="Times New Roman" w:hAnsi="Times New Roman" w:cs="Times New Roman"/>
          <w:color w:val="403152" w:themeColor="accent4" w:themeShade="80"/>
          <w:sz w:val="24"/>
          <w:szCs w:val="24"/>
        </w:rPr>
        <w:t>.</w:t>
      </w:r>
    </w:p>
    <w:p w14:paraId="08C95D9A" w14:textId="77777777" w:rsidR="006E483E" w:rsidRPr="00E519DB" w:rsidRDefault="006E483E" w:rsidP="00596F35">
      <w:pPr>
        <w:spacing w:line="480" w:lineRule="auto"/>
        <w:ind w:firstLine="720"/>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The canon of negative implication offers guidance when</w:t>
      </w:r>
      <w:r w:rsidR="001C45C0" w:rsidRPr="00E519DB">
        <w:rPr>
          <w:rFonts w:ascii="Times New Roman" w:hAnsi="Times New Roman" w:cs="Times New Roman"/>
          <w:color w:val="403152" w:themeColor="accent4" w:themeShade="80"/>
          <w:sz w:val="24"/>
          <w:szCs w:val="24"/>
        </w:rPr>
        <w:t xml:space="preserve"> </w:t>
      </w:r>
      <w:r w:rsidR="00596F35" w:rsidRPr="00E519DB">
        <w:rPr>
          <w:rFonts w:ascii="Times New Roman" w:hAnsi="Times New Roman" w:cs="Times New Roman"/>
          <w:color w:val="403152" w:themeColor="accent4" w:themeShade="80"/>
          <w:sz w:val="24"/>
          <w:szCs w:val="24"/>
        </w:rPr>
        <w:t xml:space="preserve">there is no explicit language in the statute concerning a </w:t>
      </w:r>
      <w:r w:rsidR="000A1DE6" w:rsidRPr="00E519DB">
        <w:rPr>
          <w:rFonts w:ascii="Times New Roman" w:hAnsi="Times New Roman" w:cs="Times New Roman"/>
          <w:color w:val="403152" w:themeColor="accent4" w:themeShade="80"/>
          <w:sz w:val="24"/>
          <w:szCs w:val="24"/>
        </w:rPr>
        <w:t>crucial</w:t>
      </w:r>
      <w:r w:rsidR="00596F35" w:rsidRPr="00E519DB">
        <w:rPr>
          <w:rFonts w:ascii="Times New Roman" w:hAnsi="Times New Roman" w:cs="Times New Roman"/>
          <w:color w:val="403152" w:themeColor="accent4" w:themeShade="80"/>
          <w:sz w:val="24"/>
          <w:szCs w:val="24"/>
        </w:rPr>
        <w:t xml:space="preserve"> point.</w:t>
      </w:r>
      <w:r w:rsidR="0077449E" w:rsidRPr="00E519DB">
        <w:rPr>
          <w:rFonts w:ascii="Times New Roman" w:hAnsi="Times New Roman" w:cs="Times New Roman"/>
          <w:color w:val="403152" w:themeColor="accent4" w:themeShade="80"/>
          <w:sz w:val="24"/>
          <w:szCs w:val="24"/>
        </w:rPr>
        <w:t xml:space="preserve"> </w:t>
      </w:r>
      <w:r w:rsidR="00124A32">
        <w:rPr>
          <w:rFonts w:ascii="Times New Roman" w:hAnsi="Times New Roman" w:cs="Times New Roman"/>
          <w:color w:val="403152" w:themeColor="accent4" w:themeShade="80"/>
          <w:sz w:val="24"/>
          <w:szCs w:val="24"/>
        </w:rPr>
        <w:t xml:space="preserve">If </w:t>
      </w:r>
      <w:r w:rsidR="001502F9">
        <w:rPr>
          <w:rFonts w:ascii="Times New Roman" w:hAnsi="Times New Roman" w:cs="Times New Roman"/>
          <w:color w:val="403152" w:themeColor="accent4" w:themeShade="80"/>
          <w:sz w:val="24"/>
          <w:szCs w:val="24"/>
        </w:rPr>
        <w:t>a statute</w:t>
      </w:r>
      <w:r w:rsidR="0077449E" w:rsidRPr="00E519DB">
        <w:rPr>
          <w:rFonts w:ascii="Times New Roman" w:hAnsi="Times New Roman" w:cs="Times New Roman"/>
          <w:color w:val="403152" w:themeColor="accent4" w:themeShade="80"/>
          <w:sz w:val="24"/>
          <w:szCs w:val="24"/>
        </w:rPr>
        <w:t xml:space="preserve"> </w:t>
      </w:r>
      <w:r w:rsidR="00124A32">
        <w:rPr>
          <w:rFonts w:ascii="Times New Roman" w:hAnsi="Times New Roman" w:cs="Times New Roman"/>
          <w:color w:val="403152" w:themeColor="accent4" w:themeShade="80"/>
          <w:sz w:val="24"/>
          <w:szCs w:val="24"/>
        </w:rPr>
        <w:t>does not mention</w:t>
      </w:r>
      <w:r w:rsidR="001502F9">
        <w:rPr>
          <w:rFonts w:ascii="Times New Roman" w:hAnsi="Times New Roman" w:cs="Times New Roman"/>
          <w:color w:val="403152" w:themeColor="accent4" w:themeShade="80"/>
          <w:sz w:val="24"/>
          <w:szCs w:val="24"/>
        </w:rPr>
        <w:t xml:space="preserve"> a particular detail, the presumption is that Congress </w:t>
      </w:r>
      <w:r w:rsidR="0077449E" w:rsidRPr="00E519DB">
        <w:rPr>
          <w:rFonts w:ascii="Times New Roman" w:hAnsi="Times New Roman" w:cs="Times New Roman"/>
          <w:color w:val="403152" w:themeColor="accent4" w:themeShade="80"/>
          <w:sz w:val="24"/>
          <w:szCs w:val="24"/>
        </w:rPr>
        <w:t>purpo</w:t>
      </w:r>
      <w:r w:rsidR="00124A32">
        <w:rPr>
          <w:rFonts w:ascii="Times New Roman" w:hAnsi="Times New Roman" w:cs="Times New Roman"/>
          <w:color w:val="403152" w:themeColor="accent4" w:themeShade="80"/>
          <w:sz w:val="24"/>
          <w:szCs w:val="24"/>
        </w:rPr>
        <w:t xml:space="preserve">sely </w:t>
      </w:r>
      <w:r w:rsidR="001502F9">
        <w:rPr>
          <w:rFonts w:ascii="Times New Roman" w:hAnsi="Times New Roman" w:cs="Times New Roman"/>
          <w:color w:val="403152" w:themeColor="accent4" w:themeShade="80"/>
          <w:sz w:val="24"/>
          <w:szCs w:val="24"/>
        </w:rPr>
        <w:t xml:space="preserve">did </w:t>
      </w:r>
      <w:r w:rsidR="00124A32">
        <w:rPr>
          <w:rFonts w:ascii="Times New Roman" w:hAnsi="Times New Roman" w:cs="Times New Roman"/>
          <w:color w:val="403152" w:themeColor="accent4" w:themeShade="80"/>
          <w:sz w:val="24"/>
          <w:szCs w:val="24"/>
        </w:rPr>
        <w:t>not inclu</w:t>
      </w:r>
      <w:r w:rsidR="001502F9">
        <w:rPr>
          <w:rFonts w:ascii="Times New Roman" w:hAnsi="Times New Roman" w:cs="Times New Roman"/>
          <w:color w:val="403152" w:themeColor="accent4" w:themeShade="80"/>
          <w:sz w:val="24"/>
          <w:szCs w:val="24"/>
        </w:rPr>
        <w:t>de it</w:t>
      </w:r>
      <w:r w:rsidR="0077449E" w:rsidRPr="00E519DB">
        <w:rPr>
          <w:rFonts w:ascii="Times New Roman" w:hAnsi="Times New Roman" w:cs="Times New Roman"/>
          <w:color w:val="403152" w:themeColor="accent4" w:themeShade="80"/>
          <w:sz w:val="24"/>
          <w:szCs w:val="24"/>
        </w:rPr>
        <w:t>.</w:t>
      </w:r>
      <w:r w:rsidR="00596F35" w:rsidRPr="00E519DB">
        <w:rPr>
          <w:rFonts w:ascii="Times New Roman" w:hAnsi="Times New Roman" w:cs="Times New Roman"/>
          <w:color w:val="403152" w:themeColor="accent4" w:themeShade="80"/>
          <w:sz w:val="24"/>
          <w:szCs w:val="24"/>
        </w:rPr>
        <w:t xml:space="preserve"> </w:t>
      </w:r>
      <w:bookmarkStart w:id="21" w:name="CITRUS_BOOKMARK21"/>
      <w:r w:rsidR="00C1088C" w:rsidRPr="00427A13">
        <w:rPr>
          <w:rFonts w:ascii="Times New Roman" w:hAnsi="Times New Roman" w:cs="Times New Roman"/>
          <w:i/>
          <w:color w:val="403152" w:themeColor="accent4" w:themeShade="80"/>
          <w:sz w:val="24"/>
          <w:szCs w:val="24"/>
        </w:rPr>
        <w:t>TRW Inc. v. Andrews</w:t>
      </w:r>
      <w:r w:rsidR="00C1088C">
        <w:rPr>
          <w:rFonts w:ascii="Times New Roman" w:hAnsi="Times New Roman" w:cs="Times New Roman"/>
          <w:color w:val="403152" w:themeColor="accent4" w:themeShade="80"/>
          <w:sz w:val="24"/>
          <w:szCs w:val="24"/>
        </w:rPr>
        <w:t>, 534 U.S. 19, 27 (2001)</w:t>
      </w:r>
      <w:bookmarkEnd w:id="21"/>
      <w:r w:rsidR="0082599F" w:rsidRPr="00E519DB">
        <w:rPr>
          <w:rFonts w:ascii="Times New Roman" w:hAnsi="Times New Roman" w:cs="Times New Roman"/>
          <w:color w:val="403152" w:themeColor="accent4" w:themeShade="80"/>
          <w:sz w:val="24"/>
          <w:szCs w:val="24"/>
        </w:rPr>
        <w:t>.</w:t>
      </w:r>
      <w:r w:rsidR="000A1DE6" w:rsidRPr="00E519DB">
        <w:rPr>
          <w:rFonts w:ascii="Times New Roman" w:hAnsi="Times New Roman" w:cs="Times New Roman"/>
          <w:color w:val="403152" w:themeColor="accent4" w:themeShade="80"/>
          <w:sz w:val="24"/>
          <w:szCs w:val="24"/>
        </w:rPr>
        <w:t xml:space="preserve"> </w:t>
      </w:r>
      <w:r w:rsidR="001502F9">
        <w:rPr>
          <w:rFonts w:ascii="Times New Roman" w:hAnsi="Times New Roman" w:cs="Times New Roman"/>
          <w:color w:val="403152" w:themeColor="accent4" w:themeShade="80"/>
          <w:sz w:val="24"/>
          <w:szCs w:val="24"/>
        </w:rPr>
        <w:t xml:space="preserve">In the </w:t>
      </w:r>
      <w:r w:rsidR="00C55DAE">
        <w:rPr>
          <w:rFonts w:ascii="Times New Roman" w:hAnsi="Times New Roman" w:cs="Times New Roman"/>
          <w:color w:val="403152" w:themeColor="accent4" w:themeShade="80"/>
          <w:sz w:val="24"/>
          <w:szCs w:val="24"/>
        </w:rPr>
        <w:t xml:space="preserve">Copyright </w:t>
      </w:r>
      <w:r w:rsidR="001502F9">
        <w:rPr>
          <w:rFonts w:ascii="Times New Roman" w:hAnsi="Times New Roman" w:cs="Times New Roman"/>
          <w:color w:val="403152" w:themeColor="accent4" w:themeShade="80"/>
          <w:sz w:val="24"/>
          <w:szCs w:val="24"/>
        </w:rPr>
        <w:t>Act</w:t>
      </w:r>
      <w:r w:rsidR="000A1DE6" w:rsidRPr="00E519DB">
        <w:rPr>
          <w:rFonts w:ascii="Times New Roman" w:hAnsi="Times New Roman" w:cs="Times New Roman"/>
          <w:color w:val="403152" w:themeColor="accent4" w:themeShade="80"/>
          <w:sz w:val="24"/>
          <w:szCs w:val="24"/>
        </w:rPr>
        <w:t>, Congress omitted any timing obligations from its overt language outlining the requirements for a work to be considered “made for hire.”</w:t>
      </w:r>
      <w:r w:rsidR="00C55DAE">
        <w:rPr>
          <w:rFonts w:ascii="Times New Roman" w:hAnsi="Times New Roman" w:cs="Times New Roman"/>
          <w:color w:val="403152" w:themeColor="accent4" w:themeShade="80"/>
          <w:sz w:val="24"/>
          <w:szCs w:val="24"/>
        </w:rPr>
        <w:t xml:space="preserve"> </w:t>
      </w:r>
      <w:bookmarkStart w:id="22" w:name="CITRUS_BOOKMARK1000000022"/>
      <w:proofErr w:type="gramStart"/>
      <w:r w:rsidR="002912A0">
        <w:rPr>
          <w:rFonts w:ascii="Times New Roman" w:hAnsi="Times New Roman" w:cs="Times New Roman"/>
          <w:color w:val="403152" w:themeColor="accent4" w:themeShade="80"/>
          <w:sz w:val="24"/>
          <w:szCs w:val="24"/>
        </w:rPr>
        <w:t>17 U.S.C. § 101(2)</w:t>
      </w:r>
      <w:bookmarkEnd w:id="22"/>
      <w:r w:rsidR="00C55DAE">
        <w:rPr>
          <w:rFonts w:ascii="Times New Roman" w:hAnsi="Times New Roman" w:cs="Times New Roman"/>
          <w:color w:val="403152" w:themeColor="accent4" w:themeShade="80"/>
          <w:sz w:val="24"/>
          <w:szCs w:val="24"/>
        </w:rPr>
        <w:t>.</w:t>
      </w:r>
      <w:proofErr w:type="gramEnd"/>
      <w:r w:rsidR="000A1DE6" w:rsidRPr="00E519DB">
        <w:rPr>
          <w:rFonts w:ascii="Times New Roman" w:hAnsi="Times New Roman" w:cs="Times New Roman"/>
          <w:color w:val="403152" w:themeColor="accent4" w:themeShade="80"/>
          <w:sz w:val="24"/>
          <w:szCs w:val="24"/>
        </w:rPr>
        <w:t xml:space="preserve"> </w:t>
      </w:r>
      <w:r w:rsidR="00C55DAE">
        <w:rPr>
          <w:rFonts w:ascii="Times New Roman" w:hAnsi="Times New Roman" w:cs="Times New Roman"/>
          <w:color w:val="403152" w:themeColor="accent4" w:themeShade="80"/>
          <w:sz w:val="24"/>
          <w:szCs w:val="24"/>
        </w:rPr>
        <w:t>A</w:t>
      </w:r>
      <w:r w:rsidR="000A1DE6" w:rsidRPr="00E519DB">
        <w:rPr>
          <w:rFonts w:ascii="Times New Roman" w:hAnsi="Times New Roman" w:cs="Times New Roman"/>
          <w:color w:val="403152" w:themeColor="accent4" w:themeShade="80"/>
          <w:sz w:val="24"/>
          <w:szCs w:val="24"/>
        </w:rPr>
        <w:t xml:space="preserve">ll that is explicitly required </w:t>
      </w:r>
      <w:r w:rsidR="0077449E" w:rsidRPr="00E519DB">
        <w:rPr>
          <w:rFonts w:ascii="Times New Roman" w:hAnsi="Times New Roman" w:cs="Times New Roman"/>
          <w:color w:val="403152" w:themeColor="accent4" w:themeShade="80"/>
          <w:sz w:val="24"/>
          <w:szCs w:val="24"/>
        </w:rPr>
        <w:t xml:space="preserve">for </w:t>
      </w:r>
      <w:r w:rsidR="00C55DAE">
        <w:rPr>
          <w:rFonts w:ascii="Times New Roman" w:hAnsi="Times New Roman" w:cs="Times New Roman"/>
          <w:color w:val="403152" w:themeColor="accent4" w:themeShade="80"/>
          <w:sz w:val="24"/>
          <w:szCs w:val="24"/>
        </w:rPr>
        <w:t>a</w:t>
      </w:r>
      <w:r w:rsidR="0077449E" w:rsidRPr="00E519DB">
        <w:rPr>
          <w:rFonts w:ascii="Times New Roman" w:hAnsi="Times New Roman" w:cs="Times New Roman"/>
          <w:color w:val="403152" w:themeColor="accent4" w:themeShade="80"/>
          <w:sz w:val="24"/>
          <w:szCs w:val="24"/>
        </w:rPr>
        <w:t xml:space="preserve"> work to be considered “made for hire” </w:t>
      </w:r>
      <w:r w:rsidR="000A1DE6" w:rsidRPr="00E519DB">
        <w:rPr>
          <w:rFonts w:ascii="Times New Roman" w:hAnsi="Times New Roman" w:cs="Times New Roman"/>
          <w:color w:val="403152" w:themeColor="accent4" w:themeShade="80"/>
          <w:sz w:val="24"/>
          <w:szCs w:val="24"/>
        </w:rPr>
        <w:t xml:space="preserve">is the </w:t>
      </w:r>
      <w:r w:rsidR="00C55DAE">
        <w:rPr>
          <w:rFonts w:ascii="Times New Roman" w:hAnsi="Times New Roman" w:cs="Times New Roman"/>
          <w:color w:val="403152" w:themeColor="accent4" w:themeShade="80"/>
          <w:sz w:val="24"/>
          <w:szCs w:val="24"/>
        </w:rPr>
        <w:t>mere</w:t>
      </w:r>
      <w:r w:rsidR="0077449E" w:rsidRPr="00E519DB">
        <w:rPr>
          <w:rFonts w:ascii="Times New Roman" w:hAnsi="Times New Roman" w:cs="Times New Roman"/>
          <w:color w:val="403152" w:themeColor="accent4" w:themeShade="80"/>
          <w:sz w:val="24"/>
          <w:szCs w:val="24"/>
        </w:rPr>
        <w:t xml:space="preserve"> </w:t>
      </w:r>
      <w:r w:rsidR="000A1DE6" w:rsidRPr="00E519DB">
        <w:rPr>
          <w:rFonts w:ascii="Times New Roman" w:hAnsi="Times New Roman" w:cs="Times New Roman"/>
          <w:color w:val="403152" w:themeColor="accent4" w:themeShade="80"/>
          <w:sz w:val="24"/>
          <w:szCs w:val="24"/>
        </w:rPr>
        <w:t>existence of a signed written instrument that acknowledges the</w:t>
      </w:r>
      <w:r w:rsidR="0077449E" w:rsidRPr="00E519DB">
        <w:rPr>
          <w:rFonts w:ascii="Times New Roman" w:hAnsi="Times New Roman" w:cs="Times New Roman"/>
          <w:color w:val="403152" w:themeColor="accent4" w:themeShade="80"/>
          <w:sz w:val="24"/>
          <w:szCs w:val="24"/>
        </w:rPr>
        <w:t xml:space="preserve"> parties’</w:t>
      </w:r>
      <w:r w:rsidR="000A1DE6" w:rsidRPr="00E519DB">
        <w:rPr>
          <w:rFonts w:ascii="Times New Roman" w:hAnsi="Times New Roman" w:cs="Times New Roman"/>
          <w:color w:val="403152" w:themeColor="accent4" w:themeShade="80"/>
          <w:sz w:val="24"/>
          <w:szCs w:val="24"/>
        </w:rPr>
        <w:t xml:space="preserve"> agreement</w:t>
      </w:r>
      <w:r w:rsidR="0077449E" w:rsidRPr="00E519DB">
        <w:rPr>
          <w:rFonts w:ascii="Times New Roman" w:hAnsi="Times New Roman" w:cs="Times New Roman"/>
          <w:color w:val="403152" w:themeColor="accent4" w:themeShade="80"/>
          <w:sz w:val="24"/>
          <w:szCs w:val="24"/>
        </w:rPr>
        <w:t>, and that the work fall into one of nine sp</w:t>
      </w:r>
      <w:r w:rsidR="00C55DAE">
        <w:rPr>
          <w:rFonts w:ascii="Times New Roman" w:hAnsi="Times New Roman" w:cs="Times New Roman"/>
          <w:color w:val="403152" w:themeColor="accent4" w:themeShade="80"/>
          <w:sz w:val="24"/>
          <w:szCs w:val="24"/>
        </w:rPr>
        <w:t>ecific copyrightable categories.</w:t>
      </w:r>
      <w:r w:rsidR="00C1088C">
        <w:rPr>
          <w:rFonts w:ascii="Times New Roman" w:hAnsi="Times New Roman" w:cs="Times New Roman"/>
          <w:color w:val="403152" w:themeColor="accent4" w:themeShade="80"/>
          <w:sz w:val="24"/>
          <w:szCs w:val="24"/>
        </w:rPr>
        <w:t xml:space="preserve"> </w:t>
      </w:r>
      <w:bookmarkStart w:id="23" w:name="CITRUS_BOOKMARK1000000023"/>
      <w:r w:rsidR="00C1088C" w:rsidRPr="00C1088C">
        <w:rPr>
          <w:rFonts w:ascii="Times New Roman" w:hAnsi="Times New Roman" w:cs="Times New Roman"/>
          <w:i/>
          <w:color w:val="403152" w:themeColor="accent4" w:themeShade="80"/>
          <w:sz w:val="24"/>
          <w:szCs w:val="24"/>
        </w:rPr>
        <w:t>Id</w:t>
      </w:r>
      <w:bookmarkEnd w:id="23"/>
      <w:r w:rsidR="00C1088C" w:rsidRPr="00C1088C">
        <w:rPr>
          <w:rFonts w:ascii="Times New Roman" w:hAnsi="Times New Roman" w:cs="Times New Roman"/>
          <w:i/>
          <w:color w:val="403152" w:themeColor="accent4" w:themeShade="80"/>
          <w:sz w:val="24"/>
          <w:szCs w:val="24"/>
        </w:rPr>
        <w:t>.</w:t>
      </w:r>
      <w:r w:rsidR="00C55DAE">
        <w:rPr>
          <w:rFonts w:ascii="Times New Roman" w:hAnsi="Times New Roman" w:cs="Times New Roman"/>
          <w:color w:val="403152" w:themeColor="accent4" w:themeShade="80"/>
          <w:sz w:val="24"/>
          <w:szCs w:val="24"/>
        </w:rPr>
        <w:t xml:space="preserve"> T</w:t>
      </w:r>
      <w:r w:rsidR="0077449E" w:rsidRPr="00E519DB">
        <w:rPr>
          <w:rFonts w:ascii="Times New Roman" w:hAnsi="Times New Roman" w:cs="Times New Roman"/>
          <w:color w:val="403152" w:themeColor="accent4" w:themeShade="80"/>
          <w:sz w:val="24"/>
          <w:szCs w:val="24"/>
        </w:rPr>
        <w:t>here is no mention of when the written instrument must be executed.</w:t>
      </w:r>
      <w:r w:rsidR="00C1088C">
        <w:rPr>
          <w:rFonts w:ascii="Times New Roman" w:hAnsi="Times New Roman" w:cs="Times New Roman"/>
          <w:color w:val="403152" w:themeColor="accent4" w:themeShade="80"/>
          <w:sz w:val="24"/>
          <w:szCs w:val="24"/>
        </w:rPr>
        <w:t xml:space="preserve"> </w:t>
      </w:r>
      <w:bookmarkStart w:id="24" w:name="CITRUS_BOOKMARK1000000024"/>
      <w:r w:rsidR="00C1088C" w:rsidRPr="00C1088C">
        <w:rPr>
          <w:rFonts w:ascii="Times New Roman" w:hAnsi="Times New Roman" w:cs="Times New Roman"/>
          <w:i/>
          <w:color w:val="403152" w:themeColor="accent4" w:themeShade="80"/>
          <w:sz w:val="24"/>
          <w:szCs w:val="24"/>
        </w:rPr>
        <w:t>Id</w:t>
      </w:r>
      <w:bookmarkEnd w:id="24"/>
      <w:r w:rsidR="00C1088C" w:rsidRPr="00C1088C">
        <w:rPr>
          <w:rFonts w:ascii="Times New Roman" w:hAnsi="Times New Roman" w:cs="Times New Roman"/>
          <w:i/>
          <w:color w:val="403152" w:themeColor="accent4" w:themeShade="80"/>
          <w:sz w:val="24"/>
          <w:szCs w:val="24"/>
        </w:rPr>
        <w:t>.</w:t>
      </w:r>
      <w:r w:rsidR="00A77C8F">
        <w:rPr>
          <w:rFonts w:ascii="Times New Roman" w:hAnsi="Times New Roman" w:cs="Times New Roman"/>
          <w:i/>
          <w:color w:val="403152" w:themeColor="accent4" w:themeShade="80"/>
          <w:sz w:val="24"/>
          <w:szCs w:val="24"/>
        </w:rPr>
        <w:t xml:space="preserve"> </w:t>
      </w:r>
      <w:r w:rsidR="0077449E" w:rsidRPr="00E519DB">
        <w:rPr>
          <w:rFonts w:ascii="Times New Roman" w:hAnsi="Times New Roman" w:cs="Times New Roman"/>
          <w:color w:val="403152" w:themeColor="accent4" w:themeShade="80"/>
          <w:sz w:val="24"/>
          <w:szCs w:val="24"/>
        </w:rPr>
        <w:t xml:space="preserve">Because of this conspicuous absence, a judicially imposed extra parameter should not be added to the plain language of the </w:t>
      </w:r>
      <w:r w:rsidR="000547BB">
        <w:rPr>
          <w:rFonts w:ascii="Times New Roman" w:hAnsi="Times New Roman" w:cs="Times New Roman"/>
          <w:color w:val="403152" w:themeColor="accent4" w:themeShade="80"/>
          <w:sz w:val="24"/>
          <w:szCs w:val="24"/>
        </w:rPr>
        <w:t xml:space="preserve">Copyright </w:t>
      </w:r>
      <w:r w:rsidR="0077449E" w:rsidRPr="00E519DB">
        <w:rPr>
          <w:rFonts w:ascii="Times New Roman" w:hAnsi="Times New Roman" w:cs="Times New Roman"/>
          <w:color w:val="403152" w:themeColor="accent4" w:themeShade="80"/>
          <w:sz w:val="24"/>
          <w:szCs w:val="24"/>
        </w:rPr>
        <w:t>Act.</w:t>
      </w:r>
    </w:p>
    <w:p w14:paraId="30188901" w14:textId="77777777" w:rsidR="00080B0C" w:rsidRDefault="00C55DAE" w:rsidP="00080B0C">
      <w:pPr>
        <w:spacing w:line="480" w:lineRule="auto"/>
        <w:ind w:firstLine="720"/>
        <w:contextualSpacing/>
        <w:rPr>
          <w:rFonts w:ascii="Times New Roman" w:hAnsi="Times New Roman" w:cs="Times New Roman"/>
          <w:color w:val="403152" w:themeColor="accent4" w:themeShade="80"/>
          <w:sz w:val="24"/>
          <w:szCs w:val="24"/>
        </w:rPr>
      </w:pPr>
      <w:r w:rsidRPr="008F1349">
        <w:rPr>
          <w:rFonts w:ascii="Times New Roman" w:hAnsi="Times New Roman" w:cs="Times New Roman"/>
          <w:color w:val="403152" w:themeColor="accent4" w:themeShade="80"/>
          <w:sz w:val="24"/>
          <w:szCs w:val="24"/>
        </w:rPr>
        <w:t xml:space="preserve">Additionally, according to statutory canon, </w:t>
      </w:r>
      <w:r w:rsidR="00E912DE" w:rsidRPr="008F1349">
        <w:rPr>
          <w:rFonts w:ascii="Times New Roman" w:hAnsi="Times New Roman" w:cs="Times New Roman"/>
          <w:color w:val="403152" w:themeColor="accent4" w:themeShade="80"/>
          <w:sz w:val="24"/>
          <w:szCs w:val="24"/>
        </w:rPr>
        <w:t>statutory provisions</w:t>
      </w:r>
      <w:r w:rsidRPr="008F1349">
        <w:rPr>
          <w:rFonts w:ascii="Times New Roman" w:hAnsi="Times New Roman" w:cs="Times New Roman"/>
          <w:color w:val="403152" w:themeColor="accent4" w:themeShade="80"/>
          <w:sz w:val="24"/>
          <w:szCs w:val="24"/>
        </w:rPr>
        <w:t xml:space="preserve"> must be construed by looking </w:t>
      </w:r>
      <w:r w:rsidR="00E912DE" w:rsidRPr="008F1349">
        <w:rPr>
          <w:rFonts w:ascii="Times New Roman" w:hAnsi="Times New Roman" w:cs="Times New Roman"/>
          <w:color w:val="403152" w:themeColor="accent4" w:themeShade="80"/>
          <w:sz w:val="24"/>
          <w:szCs w:val="24"/>
        </w:rPr>
        <w:t>at</w:t>
      </w:r>
      <w:r w:rsidR="00C772AD" w:rsidRPr="008F1349">
        <w:rPr>
          <w:rFonts w:ascii="Times New Roman" w:hAnsi="Times New Roman" w:cs="Times New Roman"/>
          <w:color w:val="403152" w:themeColor="accent4" w:themeShade="80"/>
          <w:sz w:val="24"/>
          <w:szCs w:val="24"/>
        </w:rPr>
        <w:t xml:space="preserve"> the </w:t>
      </w:r>
      <w:r w:rsidRPr="008F1349">
        <w:rPr>
          <w:rFonts w:ascii="Times New Roman" w:hAnsi="Times New Roman" w:cs="Times New Roman"/>
          <w:color w:val="403152" w:themeColor="accent4" w:themeShade="80"/>
          <w:sz w:val="24"/>
          <w:szCs w:val="24"/>
        </w:rPr>
        <w:t>statute as a whole,</w:t>
      </w:r>
      <w:r w:rsidR="00C772AD" w:rsidRPr="008F1349">
        <w:rPr>
          <w:rFonts w:ascii="Times New Roman" w:hAnsi="Times New Roman" w:cs="Times New Roman"/>
          <w:color w:val="403152" w:themeColor="accent4" w:themeShade="80"/>
          <w:sz w:val="24"/>
          <w:szCs w:val="24"/>
        </w:rPr>
        <w:t xml:space="preserve"> </w:t>
      </w:r>
      <w:r w:rsidR="00E912DE" w:rsidRPr="008F1349">
        <w:rPr>
          <w:rFonts w:ascii="Times New Roman" w:hAnsi="Times New Roman" w:cs="Times New Roman"/>
          <w:color w:val="403152" w:themeColor="accent4" w:themeShade="80"/>
          <w:sz w:val="24"/>
          <w:szCs w:val="24"/>
        </w:rPr>
        <w:t xml:space="preserve">which means </w:t>
      </w:r>
      <w:r w:rsidR="00646FEF" w:rsidRPr="008F1349">
        <w:rPr>
          <w:rFonts w:ascii="Times New Roman" w:hAnsi="Times New Roman" w:cs="Times New Roman"/>
          <w:color w:val="403152" w:themeColor="accent4" w:themeShade="80"/>
          <w:sz w:val="24"/>
          <w:szCs w:val="24"/>
        </w:rPr>
        <w:t xml:space="preserve">interpreting the provisions within the </w:t>
      </w:r>
      <w:r w:rsidR="00E912DE" w:rsidRPr="008F1349">
        <w:rPr>
          <w:rFonts w:ascii="Times New Roman" w:hAnsi="Times New Roman" w:cs="Times New Roman"/>
          <w:color w:val="403152" w:themeColor="accent4" w:themeShade="80"/>
          <w:sz w:val="24"/>
          <w:szCs w:val="24"/>
        </w:rPr>
        <w:t>statute</w:t>
      </w:r>
      <w:r w:rsidR="00646FEF" w:rsidRPr="008F1349">
        <w:rPr>
          <w:rFonts w:ascii="Times New Roman" w:hAnsi="Times New Roman" w:cs="Times New Roman"/>
          <w:color w:val="403152" w:themeColor="accent4" w:themeShade="80"/>
          <w:sz w:val="24"/>
          <w:szCs w:val="24"/>
        </w:rPr>
        <w:t xml:space="preserve"> </w:t>
      </w:r>
      <w:r w:rsidR="00646FEF" w:rsidRPr="008F1349">
        <w:rPr>
          <w:rFonts w:ascii="Times New Roman" w:hAnsi="Times New Roman" w:cs="Times New Roman"/>
          <w:color w:val="403152" w:themeColor="accent4" w:themeShade="80"/>
          <w:sz w:val="24"/>
          <w:szCs w:val="24"/>
        </w:rPr>
        <w:lastRenderedPageBreak/>
        <w:t>consistent</w:t>
      </w:r>
      <w:r w:rsidR="00A3733E" w:rsidRPr="008F1349">
        <w:rPr>
          <w:rFonts w:ascii="Times New Roman" w:hAnsi="Times New Roman" w:cs="Times New Roman"/>
          <w:color w:val="403152" w:themeColor="accent4" w:themeShade="80"/>
          <w:sz w:val="24"/>
          <w:szCs w:val="24"/>
        </w:rPr>
        <w:t xml:space="preserve">ly with the </w:t>
      </w:r>
      <w:r w:rsidR="00E912DE" w:rsidRPr="008F1349">
        <w:rPr>
          <w:rFonts w:ascii="Times New Roman" w:hAnsi="Times New Roman" w:cs="Times New Roman"/>
          <w:color w:val="403152" w:themeColor="accent4" w:themeShade="80"/>
          <w:sz w:val="24"/>
          <w:szCs w:val="24"/>
        </w:rPr>
        <w:t>statute’s</w:t>
      </w:r>
      <w:r w:rsidR="00A3733E" w:rsidRPr="008F1349">
        <w:rPr>
          <w:rFonts w:ascii="Times New Roman" w:hAnsi="Times New Roman" w:cs="Times New Roman"/>
          <w:color w:val="403152" w:themeColor="accent4" w:themeShade="80"/>
          <w:sz w:val="24"/>
          <w:szCs w:val="24"/>
        </w:rPr>
        <w:t xml:space="preserve"> </w:t>
      </w:r>
      <w:r w:rsidR="000A1DE6" w:rsidRPr="008F1349">
        <w:rPr>
          <w:rFonts w:ascii="Times New Roman" w:hAnsi="Times New Roman" w:cs="Times New Roman"/>
          <w:color w:val="403152" w:themeColor="accent4" w:themeShade="80"/>
          <w:sz w:val="24"/>
          <w:szCs w:val="24"/>
        </w:rPr>
        <w:t>entirety</w:t>
      </w:r>
      <w:r w:rsidR="00C772AD" w:rsidRPr="008F1349">
        <w:rPr>
          <w:rFonts w:ascii="Times New Roman" w:hAnsi="Times New Roman" w:cs="Times New Roman"/>
          <w:color w:val="403152" w:themeColor="accent4" w:themeShade="80"/>
          <w:sz w:val="24"/>
          <w:szCs w:val="24"/>
        </w:rPr>
        <w:t>.</w:t>
      </w:r>
      <w:r w:rsidR="00646FEF" w:rsidRPr="008F1349">
        <w:rPr>
          <w:rFonts w:ascii="Times New Roman" w:hAnsi="Times New Roman" w:cs="Times New Roman"/>
          <w:color w:val="403152" w:themeColor="accent4" w:themeShade="80"/>
          <w:sz w:val="24"/>
          <w:szCs w:val="24"/>
        </w:rPr>
        <w:t xml:space="preserve"> </w:t>
      </w:r>
      <w:bookmarkStart w:id="25" w:name="CITRUS_BOOKMARK1000000029"/>
      <w:proofErr w:type="gramStart"/>
      <w:r w:rsidR="00402D87">
        <w:rPr>
          <w:rFonts w:ascii="Times New Roman" w:hAnsi="Times New Roman" w:cs="Times New Roman"/>
          <w:i/>
          <w:color w:val="403152" w:themeColor="accent4" w:themeShade="80"/>
          <w:sz w:val="24"/>
          <w:szCs w:val="24"/>
        </w:rPr>
        <w:t xml:space="preserve">Mass. v. </w:t>
      </w:r>
      <w:proofErr w:type="spellStart"/>
      <w:r w:rsidR="00402D87">
        <w:rPr>
          <w:rFonts w:ascii="Times New Roman" w:hAnsi="Times New Roman" w:cs="Times New Roman"/>
          <w:i/>
          <w:color w:val="403152" w:themeColor="accent4" w:themeShade="80"/>
          <w:sz w:val="24"/>
          <w:szCs w:val="24"/>
        </w:rPr>
        <w:t>Morash</w:t>
      </w:r>
      <w:proofErr w:type="spellEnd"/>
      <w:r w:rsidR="00402D87">
        <w:rPr>
          <w:rFonts w:ascii="Times New Roman" w:hAnsi="Times New Roman" w:cs="Times New Roman"/>
          <w:i/>
          <w:color w:val="403152" w:themeColor="accent4" w:themeShade="80"/>
          <w:sz w:val="24"/>
          <w:szCs w:val="24"/>
        </w:rPr>
        <w:t>,</w:t>
      </w:r>
      <w:r w:rsidR="00402D87">
        <w:rPr>
          <w:rFonts w:ascii="Times New Roman" w:hAnsi="Times New Roman" w:cs="Times New Roman"/>
          <w:color w:val="403152" w:themeColor="accent4" w:themeShade="80"/>
          <w:sz w:val="24"/>
          <w:szCs w:val="24"/>
        </w:rPr>
        <w:t xml:space="preserve"> 490 U.S. 107, 115 (1989)</w:t>
      </w:r>
      <w:bookmarkEnd w:id="25"/>
      <w:r w:rsidR="00402D87">
        <w:rPr>
          <w:rFonts w:ascii="Times New Roman" w:hAnsi="Times New Roman" w:cs="Times New Roman"/>
          <w:color w:val="403152" w:themeColor="accent4" w:themeShade="80"/>
          <w:sz w:val="24"/>
          <w:szCs w:val="24"/>
        </w:rPr>
        <w:t>.</w:t>
      </w:r>
      <w:proofErr w:type="gramEnd"/>
      <w:r w:rsidR="00402D87">
        <w:rPr>
          <w:rFonts w:ascii="Times New Roman" w:hAnsi="Times New Roman" w:cs="Times New Roman"/>
          <w:color w:val="403152" w:themeColor="accent4" w:themeShade="80"/>
          <w:sz w:val="24"/>
          <w:szCs w:val="24"/>
        </w:rPr>
        <w:t xml:space="preserve"> </w:t>
      </w:r>
      <w:r w:rsidR="002D5DC8" w:rsidRPr="008F1349">
        <w:rPr>
          <w:rFonts w:ascii="Times New Roman" w:hAnsi="Times New Roman" w:cs="Times New Roman"/>
          <w:color w:val="403152" w:themeColor="accent4" w:themeShade="80"/>
          <w:sz w:val="24"/>
          <w:szCs w:val="24"/>
        </w:rPr>
        <w:t xml:space="preserve">Under the </w:t>
      </w:r>
      <w:r w:rsidR="00E912DE" w:rsidRPr="008F1349">
        <w:rPr>
          <w:rFonts w:ascii="Times New Roman" w:hAnsi="Times New Roman" w:cs="Times New Roman"/>
          <w:color w:val="403152" w:themeColor="accent4" w:themeShade="80"/>
          <w:sz w:val="24"/>
          <w:szCs w:val="24"/>
        </w:rPr>
        <w:t xml:space="preserve">Copyright </w:t>
      </w:r>
      <w:r w:rsidR="002D5DC8" w:rsidRPr="008F1349">
        <w:rPr>
          <w:rFonts w:ascii="Times New Roman" w:hAnsi="Times New Roman" w:cs="Times New Roman"/>
          <w:color w:val="403152" w:themeColor="accent4" w:themeShade="80"/>
          <w:sz w:val="24"/>
          <w:szCs w:val="24"/>
        </w:rPr>
        <w:t xml:space="preserve">Act, </w:t>
      </w:r>
      <w:r w:rsidR="00816722">
        <w:rPr>
          <w:rFonts w:ascii="Times New Roman" w:hAnsi="Times New Roman" w:cs="Times New Roman"/>
          <w:color w:val="403152" w:themeColor="accent4" w:themeShade="80"/>
          <w:sz w:val="24"/>
          <w:szCs w:val="24"/>
        </w:rPr>
        <w:t>a contribution to a collective work can happen through two</w:t>
      </w:r>
      <w:r w:rsidR="00CB163A">
        <w:rPr>
          <w:rFonts w:ascii="Times New Roman" w:hAnsi="Times New Roman" w:cs="Times New Roman"/>
          <w:color w:val="403152" w:themeColor="accent4" w:themeShade="80"/>
          <w:sz w:val="24"/>
          <w:szCs w:val="24"/>
        </w:rPr>
        <w:t xml:space="preserve"> </w:t>
      </w:r>
      <w:r w:rsidR="00816722">
        <w:rPr>
          <w:rFonts w:ascii="Times New Roman" w:hAnsi="Times New Roman" w:cs="Times New Roman"/>
          <w:color w:val="403152" w:themeColor="accent4" w:themeShade="80"/>
          <w:sz w:val="24"/>
          <w:szCs w:val="24"/>
        </w:rPr>
        <w:t>types of</w:t>
      </w:r>
      <w:r w:rsidR="00CB163A">
        <w:rPr>
          <w:rFonts w:ascii="Times New Roman" w:hAnsi="Times New Roman" w:cs="Times New Roman"/>
          <w:color w:val="403152" w:themeColor="accent4" w:themeShade="80"/>
          <w:sz w:val="24"/>
          <w:szCs w:val="24"/>
        </w:rPr>
        <w:t xml:space="preserve"> </w:t>
      </w:r>
      <w:r w:rsidR="00816722">
        <w:rPr>
          <w:rFonts w:ascii="Times New Roman" w:hAnsi="Times New Roman" w:cs="Times New Roman"/>
          <w:color w:val="403152" w:themeColor="accent4" w:themeShade="80"/>
          <w:sz w:val="24"/>
          <w:szCs w:val="24"/>
        </w:rPr>
        <w:t xml:space="preserve">transactions: </w:t>
      </w:r>
      <w:r w:rsidR="002D5DC8" w:rsidRPr="008F1349">
        <w:rPr>
          <w:rFonts w:ascii="Times New Roman" w:hAnsi="Times New Roman" w:cs="Times New Roman"/>
          <w:color w:val="403152" w:themeColor="accent4" w:themeShade="80"/>
          <w:sz w:val="24"/>
          <w:szCs w:val="24"/>
        </w:rPr>
        <w:t>“w</w:t>
      </w:r>
      <w:r w:rsidR="00646FEF" w:rsidRPr="008F1349">
        <w:rPr>
          <w:rFonts w:ascii="Times New Roman" w:hAnsi="Times New Roman" w:cs="Times New Roman"/>
          <w:color w:val="403152" w:themeColor="accent4" w:themeShade="80"/>
          <w:sz w:val="24"/>
          <w:szCs w:val="24"/>
        </w:rPr>
        <w:t>orks made for hire</w:t>
      </w:r>
      <w:r w:rsidR="002D5DC8" w:rsidRPr="008F1349">
        <w:rPr>
          <w:rFonts w:ascii="Times New Roman" w:hAnsi="Times New Roman" w:cs="Times New Roman"/>
          <w:color w:val="403152" w:themeColor="accent4" w:themeShade="80"/>
          <w:sz w:val="24"/>
          <w:szCs w:val="24"/>
        </w:rPr>
        <w:t>”</w:t>
      </w:r>
      <w:r w:rsidR="00080B0C">
        <w:rPr>
          <w:rFonts w:ascii="Times New Roman" w:hAnsi="Times New Roman" w:cs="Times New Roman"/>
          <w:color w:val="403152" w:themeColor="accent4" w:themeShade="80"/>
          <w:sz w:val="24"/>
          <w:szCs w:val="24"/>
        </w:rPr>
        <w:t xml:space="preserve"> transactions,</w:t>
      </w:r>
      <w:r w:rsidR="00646FEF" w:rsidRPr="008F1349">
        <w:rPr>
          <w:rFonts w:ascii="Times New Roman" w:hAnsi="Times New Roman" w:cs="Times New Roman"/>
          <w:color w:val="403152" w:themeColor="accent4" w:themeShade="80"/>
          <w:sz w:val="24"/>
          <w:szCs w:val="24"/>
        </w:rPr>
        <w:t xml:space="preserve"> </w:t>
      </w:r>
      <w:r w:rsidR="00025008" w:rsidRPr="008F1349">
        <w:rPr>
          <w:rFonts w:ascii="Times New Roman" w:hAnsi="Times New Roman" w:cs="Times New Roman"/>
          <w:color w:val="403152" w:themeColor="accent4" w:themeShade="80"/>
          <w:sz w:val="24"/>
          <w:szCs w:val="24"/>
        </w:rPr>
        <w:t xml:space="preserve">which </w:t>
      </w:r>
      <w:r w:rsidR="00646FEF" w:rsidRPr="008F1349">
        <w:rPr>
          <w:rFonts w:ascii="Times New Roman" w:hAnsi="Times New Roman" w:cs="Times New Roman"/>
          <w:color w:val="403152" w:themeColor="accent4" w:themeShade="80"/>
          <w:sz w:val="24"/>
          <w:szCs w:val="24"/>
        </w:rPr>
        <w:t xml:space="preserve">are governed </w:t>
      </w:r>
      <w:r w:rsidR="002D5DC8" w:rsidRPr="008F1349">
        <w:rPr>
          <w:rFonts w:ascii="Times New Roman" w:hAnsi="Times New Roman" w:cs="Times New Roman"/>
          <w:color w:val="403152" w:themeColor="accent4" w:themeShade="80"/>
          <w:sz w:val="24"/>
          <w:szCs w:val="24"/>
        </w:rPr>
        <w:t>by</w:t>
      </w:r>
      <w:r w:rsidR="00646FEF" w:rsidRPr="008F1349">
        <w:rPr>
          <w:rFonts w:ascii="Times New Roman" w:hAnsi="Times New Roman" w:cs="Times New Roman"/>
          <w:color w:val="403152" w:themeColor="accent4" w:themeShade="80"/>
          <w:sz w:val="24"/>
          <w:szCs w:val="24"/>
        </w:rPr>
        <w:t xml:space="preserve"> </w:t>
      </w:r>
      <w:bookmarkStart w:id="26" w:name="CITRUS_BOOKMARK1000000030"/>
      <w:r w:rsidR="00646FEF" w:rsidRPr="008F1349">
        <w:rPr>
          <w:rFonts w:ascii="Times New Roman" w:hAnsi="Times New Roman" w:cs="Times New Roman"/>
          <w:color w:val="403152" w:themeColor="accent4" w:themeShade="80"/>
          <w:sz w:val="24"/>
          <w:szCs w:val="24"/>
        </w:rPr>
        <w:t>§</w:t>
      </w:r>
      <w:r w:rsidR="00E912DE" w:rsidRPr="008F1349">
        <w:rPr>
          <w:rFonts w:ascii="Times New Roman" w:hAnsi="Times New Roman" w:cs="Times New Roman"/>
          <w:color w:val="403152" w:themeColor="accent4" w:themeShade="80"/>
          <w:sz w:val="24"/>
          <w:szCs w:val="24"/>
        </w:rPr>
        <w:t>§</w:t>
      </w:r>
      <w:r w:rsidR="002D5DC8" w:rsidRPr="008F1349">
        <w:rPr>
          <w:rFonts w:ascii="Times New Roman" w:hAnsi="Times New Roman" w:cs="Times New Roman"/>
          <w:color w:val="403152" w:themeColor="accent4" w:themeShade="80"/>
          <w:sz w:val="24"/>
          <w:szCs w:val="24"/>
        </w:rPr>
        <w:t xml:space="preserve"> 101(2) and </w:t>
      </w:r>
      <w:r w:rsidR="00646FEF" w:rsidRPr="008F1349">
        <w:rPr>
          <w:rFonts w:ascii="Times New Roman" w:hAnsi="Times New Roman" w:cs="Times New Roman"/>
          <w:color w:val="403152" w:themeColor="accent4" w:themeShade="80"/>
          <w:sz w:val="24"/>
          <w:szCs w:val="24"/>
        </w:rPr>
        <w:t>201(b)</w:t>
      </w:r>
      <w:bookmarkEnd w:id="26"/>
      <w:r w:rsidR="00646FEF" w:rsidRPr="008F1349">
        <w:rPr>
          <w:rFonts w:ascii="Times New Roman" w:hAnsi="Times New Roman" w:cs="Times New Roman"/>
          <w:color w:val="403152" w:themeColor="accent4" w:themeShade="80"/>
          <w:sz w:val="24"/>
          <w:szCs w:val="24"/>
        </w:rPr>
        <w:t xml:space="preserve">, </w:t>
      </w:r>
      <w:r w:rsidR="00080B0C">
        <w:rPr>
          <w:rFonts w:ascii="Times New Roman" w:hAnsi="Times New Roman" w:cs="Times New Roman"/>
          <w:color w:val="403152" w:themeColor="accent4" w:themeShade="80"/>
          <w:sz w:val="24"/>
          <w:szCs w:val="24"/>
        </w:rPr>
        <w:t>and</w:t>
      </w:r>
      <w:r w:rsidR="00CB163A">
        <w:rPr>
          <w:rFonts w:ascii="Times New Roman" w:hAnsi="Times New Roman" w:cs="Times New Roman"/>
          <w:color w:val="403152" w:themeColor="accent4" w:themeShade="80"/>
          <w:sz w:val="24"/>
          <w:szCs w:val="24"/>
        </w:rPr>
        <w:t xml:space="preserve"> </w:t>
      </w:r>
      <w:r w:rsidR="002D5DC8" w:rsidRPr="00F851F9">
        <w:rPr>
          <w:rFonts w:ascii="Times New Roman" w:hAnsi="Times New Roman" w:cs="Times New Roman"/>
          <w:color w:val="403152" w:themeColor="accent4" w:themeShade="80"/>
          <w:sz w:val="24"/>
          <w:szCs w:val="24"/>
        </w:rPr>
        <w:t>“</w:t>
      </w:r>
      <w:r w:rsidR="00646FEF" w:rsidRPr="00F851F9">
        <w:rPr>
          <w:rFonts w:ascii="Times New Roman" w:hAnsi="Times New Roman" w:cs="Times New Roman"/>
          <w:color w:val="403152" w:themeColor="accent4" w:themeShade="80"/>
          <w:sz w:val="24"/>
          <w:szCs w:val="24"/>
        </w:rPr>
        <w:t>transfers</w:t>
      </w:r>
      <w:r w:rsidR="002D5DC8" w:rsidRPr="00F851F9">
        <w:rPr>
          <w:rFonts w:ascii="Times New Roman" w:hAnsi="Times New Roman" w:cs="Times New Roman"/>
          <w:color w:val="403152" w:themeColor="accent4" w:themeShade="80"/>
          <w:sz w:val="24"/>
          <w:szCs w:val="24"/>
        </w:rPr>
        <w:t xml:space="preserve"> of copyright ownership”</w:t>
      </w:r>
      <w:r w:rsidR="00080B0C">
        <w:rPr>
          <w:rFonts w:ascii="Times New Roman" w:hAnsi="Times New Roman" w:cs="Times New Roman"/>
          <w:color w:val="403152" w:themeColor="accent4" w:themeShade="80"/>
          <w:sz w:val="24"/>
          <w:szCs w:val="24"/>
        </w:rPr>
        <w:t xml:space="preserve"> transactions,</w:t>
      </w:r>
      <w:r w:rsidR="002D5DC8" w:rsidRPr="00F851F9">
        <w:rPr>
          <w:rFonts w:ascii="Times New Roman" w:hAnsi="Times New Roman" w:cs="Times New Roman"/>
          <w:color w:val="403152" w:themeColor="accent4" w:themeShade="80"/>
          <w:sz w:val="24"/>
          <w:szCs w:val="24"/>
        </w:rPr>
        <w:t xml:space="preserve"> </w:t>
      </w:r>
      <w:r w:rsidR="00025008" w:rsidRPr="00F851F9">
        <w:rPr>
          <w:rFonts w:ascii="Times New Roman" w:hAnsi="Times New Roman" w:cs="Times New Roman"/>
          <w:color w:val="403152" w:themeColor="accent4" w:themeShade="80"/>
          <w:sz w:val="24"/>
          <w:szCs w:val="24"/>
        </w:rPr>
        <w:t xml:space="preserve">which </w:t>
      </w:r>
      <w:r w:rsidR="002D5DC8" w:rsidRPr="00F851F9">
        <w:rPr>
          <w:rFonts w:ascii="Times New Roman" w:hAnsi="Times New Roman" w:cs="Times New Roman"/>
          <w:color w:val="403152" w:themeColor="accent4" w:themeShade="80"/>
          <w:sz w:val="24"/>
          <w:szCs w:val="24"/>
        </w:rPr>
        <w:t xml:space="preserve">are governed by </w:t>
      </w:r>
      <w:bookmarkStart w:id="27" w:name="CITRUS_BOOKMARK1000000031"/>
      <w:r w:rsidR="002912A0">
        <w:rPr>
          <w:rFonts w:ascii="Times New Roman" w:hAnsi="Times New Roman" w:cs="Times New Roman"/>
          <w:color w:val="403152" w:themeColor="accent4" w:themeShade="80"/>
          <w:sz w:val="24"/>
          <w:szCs w:val="24"/>
        </w:rPr>
        <w:t>17 U.S.C. §§ 201(c)</w:t>
      </w:r>
      <w:bookmarkEnd w:id="27"/>
      <w:r w:rsidR="00E3313A">
        <w:rPr>
          <w:rFonts w:ascii="Times New Roman" w:hAnsi="Times New Roman" w:cs="Times New Roman"/>
          <w:color w:val="403152" w:themeColor="accent4" w:themeShade="80"/>
          <w:sz w:val="24"/>
          <w:szCs w:val="24"/>
        </w:rPr>
        <w:t>, 201(d),</w:t>
      </w:r>
      <w:r w:rsidR="002D5DC8" w:rsidRPr="00F851F9">
        <w:rPr>
          <w:rFonts w:ascii="Times New Roman" w:hAnsi="Times New Roman" w:cs="Times New Roman"/>
          <w:color w:val="403152" w:themeColor="accent4" w:themeShade="80"/>
          <w:sz w:val="24"/>
          <w:szCs w:val="24"/>
        </w:rPr>
        <w:t xml:space="preserve"> and 204.</w:t>
      </w:r>
      <w:r w:rsidR="00CB163A">
        <w:rPr>
          <w:rFonts w:ascii="Times New Roman" w:hAnsi="Times New Roman" w:cs="Times New Roman"/>
          <w:color w:val="403152" w:themeColor="accent4" w:themeShade="80"/>
          <w:sz w:val="24"/>
          <w:szCs w:val="24"/>
        </w:rPr>
        <w:t xml:space="preserve"> </w:t>
      </w:r>
      <w:r w:rsidR="00CB163A" w:rsidRPr="00F851F9">
        <w:rPr>
          <w:rFonts w:ascii="Times New Roman" w:hAnsi="Times New Roman" w:cs="Times New Roman"/>
          <w:color w:val="403152" w:themeColor="accent4" w:themeShade="80"/>
          <w:sz w:val="24"/>
          <w:szCs w:val="24"/>
        </w:rPr>
        <w:t>These</w:t>
      </w:r>
      <w:r w:rsidR="00CB163A">
        <w:rPr>
          <w:rFonts w:ascii="Times New Roman" w:hAnsi="Times New Roman" w:cs="Times New Roman"/>
          <w:color w:val="403152" w:themeColor="accent4" w:themeShade="80"/>
          <w:sz w:val="24"/>
          <w:szCs w:val="24"/>
        </w:rPr>
        <w:t xml:space="preserve"> two types of</w:t>
      </w:r>
      <w:r w:rsidR="00CB163A" w:rsidRPr="00F851F9">
        <w:rPr>
          <w:rFonts w:ascii="Times New Roman" w:hAnsi="Times New Roman" w:cs="Times New Roman"/>
          <w:color w:val="403152" w:themeColor="accent4" w:themeShade="80"/>
          <w:sz w:val="24"/>
          <w:szCs w:val="24"/>
        </w:rPr>
        <w:t xml:space="preserve"> </w:t>
      </w:r>
      <w:r w:rsidR="00CB163A">
        <w:rPr>
          <w:rFonts w:ascii="Times New Roman" w:hAnsi="Times New Roman" w:cs="Times New Roman"/>
          <w:color w:val="403152" w:themeColor="accent4" w:themeShade="80"/>
          <w:sz w:val="24"/>
          <w:szCs w:val="24"/>
        </w:rPr>
        <w:t>transactions</w:t>
      </w:r>
      <w:r w:rsidR="00CB163A" w:rsidRPr="00F851F9">
        <w:rPr>
          <w:rFonts w:ascii="Times New Roman" w:hAnsi="Times New Roman" w:cs="Times New Roman"/>
          <w:color w:val="403152" w:themeColor="accent4" w:themeShade="80"/>
          <w:sz w:val="24"/>
          <w:szCs w:val="24"/>
        </w:rPr>
        <w:t xml:space="preserve"> </w:t>
      </w:r>
      <w:r w:rsidR="00CB163A">
        <w:rPr>
          <w:rFonts w:ascii="Times New Roman" w:hAnsi="Times New Roman" w:cs="Times New Roman"/>
          <w:color w:val="403152" w:themeColor="accent4" w:themeShade="80"/>
          <w:sz w:val="24"/>
          <w:szCs w:val="24"/>
        </w:rPr>
        <w:t>appear to be similar</w:t>
      </w:r>
      <w:r w:rsidR="00306ECD">
        <w:rPr>
          <w:rFonts w:ascii="Times New Roman" w:hAnsi="Times New Roman" w:cs="Times New Roman"/>
          <w:color w:val="403152" w:themeColor="accent4" w:themeShade="80"/>
          <w:sz w:val="24"/>
          <w:szCs w:val="24"/>
        </w:rPr>
        <w:t xml:space="preserve">: </w:t>
      </w:r>
      <w:r w:rsidR="00CB163A" w:rsidRPr="008F1349">
        <w:rPr>
          <w:rFonts w:ascii="Times New Roman" w:hAnsi="Times New Roman" w:cs="Times New Roman"/>
          <w:color w:val="403152" w:themeColor="accent4" w:themeShade="80"/>
          <w:sz w:val="24"/>
          <w:szCs w:val="24"/>
        </w:rPr>
        <w:t xml:space="preserve">an original creator of a work may sign a written agreement that vests ownership of the </w:t>
      </w:r>
      <w:r w:rsidR="00816722">
        <w:rPr>
          <w:rFonts w:ascii="Times New Roman" w:hAnsi="Times New Roman" w:cs="Times New Roman"/>
          <w:color w:val="403152" w:themeColor="accent4" w:themeShade="80"/>
          <w:sz w:val="24"/>
          <w:szCs w:val="24"/>
        </w:rPr>
        <w:t>work</w:t>
      </w:r>
      <w:r w:rsidR="00CB163A" w:rsidRPr="008F1349">
        <w:rPr>
          <w:rFonts w:ascii="Times New Roman" w:hAnsi="Times New Roman" w:cs="Times New Roman"/>
          <w:color w:val="403152" w:themeColor="accent4" w:themeShade="80"/>
          <w:sz w:val="24"/>
          <w:szCs w:val="24"/>
        </w:rPr>
        <w:t xml:space="preserve"> in another entity. </w:t>
      </w:r>
      <w:r w:rsidR="00CB163A">
        <w:rPr>
          <w:rFonts w:ascii="Times New Roman" w:hAnsi="Times New Roman" w:cs="Times New Roman"/>
          <w:color w:val="403152" w:themeColor="accent4" w:themeShade="80"/>
          <w:sz w:val="24"/>
          <w:szCs w:val="24"/>
        </w:rPr>
        <w:t xml:space="preserve">However, there are divergent ramifications to the involved parties depending on which transaction takes place. </w:t>
      </w:r>
      <w:r w:rsidR="00080B0C" w:rsidRPr="00616771">
        <w:rPr>
          <w:rFonts w:ascii="Times New Roman" w:hAnsi="Times New Roman" w:cs="Times New Roman"/>
          <w:color w:val="403152" w:themeColor="accent4" w:themeShade="80"/>
          <w:sz w:val="24"/>
          <w:szCs w:val="24"/>
        </w:rPr>
        <w:t xml:space="preserve">When a work is made for hire, both authorship and ownership of the copyright vest initially and completely with the employer. </w:t>
      </w:r>
      <w:bookmarkStart w:id="28" w:name="CITRUS_BOOKMARK1000000032"/>
      <w:proofErr w:type="gramStart"/>
      <w:r w:rsidR="002912A0" w:rsidRPr="00427A13">
        <w:rPr>
          <w:rFonts w:ascii="Times New Roman" w:hAnsi="Times New Roman" w:cs="Times New Roman"/>
          <w:color w:val="403152" w:themeColor="accent4" w:themeShade="80"/>
          <w:sz w:val="24"/>
          <w:szCs w:val="24"/>
        </w:rPr>
        <w:t>17 U.S.C. § 201(b)</w:t>
      </w:r>
      <w:bookmarkEnd w:id="28"/>
      <w:r w:rsidR="00080B0C" w:rsidRPr="00616771">
        <w:rPr>
          <w:rFonts w:ascii="Times New Roman" w:hAnsi="Times New Roman" w:cs="Times New Roman"/>
          <w:color w:val="403152" w:themeColor="accent4" w:themeShade="80"/>
          <w:sz w:val="24"/>
          <w:szCs w:val="24"/>
        </w:rPr>
        <w:t>.</w:t>
      </w:r>
      <w:proofErr w:type="gramEnd"/>
      <w:r w:rsidR="00080B0C" w:rsidRPr="00616771">
        <w:rPr>
          <w:rFonts w:ascii="Times New Roman" w:hAnsi="Times New Roman" w:cs="Times New Roman"/>
          <w:color w:val="403152" w:themeColor="accent4" w:themeShade="80"/>
          <w:sz w:val="24"/>
          <w:szCs w:val="24"/>
        </w:rPr>
        <w:t xml:space="preserve"> </w:t>
      </w:r>
      <w:r w:rsidR="00306ECD">
        <w:rPr>
          <w:rFonts w:ascii="Times New Roman" w:hAnsi="Times New Roman" w:cs="Times New Roman"/>
          <w:color w:val="403152" w:themeColor="accent4" w:themeShade="80"/>
          <w:sz w:val="24"/>
          <w:szCs w:val="24"/>
        </w:rPr>
        <w:t>Contrastingly</w:t>
      </w:r>
      <w:r w:rsidR="00CB163A">
        <w:rPr>
          <w:rFonts w:ascii="Times New Roman" w:hAnsi="Times New Roman" w:cs="Times New Roman"/>
          <w:color w:val="403152" w:themeColor="accent4" w:themeShade="80"/>
          <w:sz w:val="24"/>
          <w:szCs w:val="24"/>
        </w:rPr>
        <w:t>,</w:t>
      </w:r>
      <w:r w:rsidR="00080B0C" w:rsidRPr="00616771">
        <w:rPr>
          <w:rFonts w:ascii="Times New Roman" w:hAnsi="Times New Roman" w:cs="Times New Roman"/>
          <w:color w:val="403152" w:themeColor="accent4" w:themeShade="80"/>
          <w:sz w:val="24"/>
          <w:szCs w:val="24"/>
        </w:rPr>
        <w:t xml:space="preserve"> in a copyright transfer, the original creator conveys ownership of the copyright, which can be in whole or in part, but the authorship of the copyright remains with the original creator. </w:t>
      </w:r>
      <w:bookmarkStart w:id="29" w:name="CITRUS_BOOKMARK1000000033"/>
      <w:proofErr w:type="gramStart"/>
      <w:r w:rsidR="002912A0" w:rsidRPr="00427A13">
        <w:rPr>
          <w:rFonts w:ascii="Times New Roman" w:hAnsi="Times New Roman" w:cs="Times New Roman"/>
          <w:color w:val="403152" w:themeColor="accent4" w:themeShade="80"/>
          <w:sz w:val="24"/>
          <w:szCs w:val="24"/>
        </w:rPr>
        <w:t>17 U.S.C. § 201(d)</w:t>
      </w:r>
      <w:bookmarkEnd w:id="29"/>
      <w:r w:rsidR="00080B0C" w:rsidRPr="00616771">
        <w:rPr>
          <w:rFonts w:ascii="Times New Roman" w:hAnsi="Times New Roman" w:cs="Times New Roman"/>
          <w:color w:val="403152" w:themeColor="accent4" w:themeShade="80"/>
          <w:sz w:val="24"/>
          <w:szCs w:val="24"/>
        </w:rPr>
        <w:t>.</w:t>
      </w:r>
      <w:proofErr w:type="gramEnd"/>
      <w:r w:rsidR="00080B0C" w:rsidRPr="00616771">
        <w:rPr>
          <w:rFonts w:ascii="Times New Roman" w:hAnsi="Times New Roman" w:cs="Times New Roman"/>
          <w:color w:val="403152" w:themeColor="accent4" w:themeShade="80"/>
          <w:sz w:val="24"/>
          <w:szCs w:val="24"/>
        </w:rPr>
        <w:t xml:space="preserve"> The author then retains an irrevocable right to terminate any copyright transfer within a statutorily specified timeframe. </w:t>
      </w:r>
      <w:bookmarkStart w:id="30" w:name="CITRUS_BOOKMARK1000000034"/>
      <w:proofErr w:type="gramStart"/>
      <w:r w:rsidR="002912A0">
        <w:rPr>
          <w:rFonts w:ascii="Times New Roman" w:hAnsi="Times New Roman" w:cs="Times New Roman"/>
          <w:color w:val="403152" w:themeColor="accent4" w:themeShade="80"/>
          <w:sz w:val="24"/>
          <w:szCs w:val="24"/>
        </w:rPr>
        <w:t>17 U.S.C. § 203</w:t>
      </w:r>
      <w:bookmarkEnd w:id="30"/>
      <w:r w:rsidR="00080B0C" w:rsidRPr="00616771">
        <w:rPr>
          <w:rFonts w:ascii="Times New Roman" w:hAnsi="Times New Roman" w:cs="Times New Roman"/>
          <w:color w:val="403152" w:themeColor="accent4" w:themeShade="80"/>
          <w:sz w:val="24"/>
          <w:szCs w:val="24"/>
        </w:rPr>
        <w:t>.</w:t>
      </w:r>
      <w:proofErr w:type="gramEnd"/>
      <w:r w:rsidR="00080B0C" w:rsidRPr="00616771">
        <w:rPr>
          <w:rFonts w:ascii="Times New Roman" w:hAnsi="Times New Roman" w:cs="Times New Roman"/>
          <w:color w:val="403152" w:themeColor="accent4" w:themeShade="80"/>
          <w:sz w:val="24"/>
          <w:szCs w:val="24"/>
        </w:rPr>
        <w:t xml:space="preserve"> Additionally, </w:t>
      </w:r>
      <w:r w:rsidR="00080B0C">
        <w:rPr>
          <w:rFonts w:ascii="Times New Roman" w:hAnsi="Times New Roman" w:cs="Times New Roman"/>
          <w:color w:val="403152" w:themeColor="accent4" w:themeShade="80"/>
          <w:sz w:val="24"/>
          <w:szCs w:val="24"/>
        </w:rPr>
        <w:t>a copyright’s duration</w:t>
      </w:r>
      <w:r w:rsidR="00080B0C" w:rsidRPr="00616771">
        <w:rPr>
          <w:rFonts w:ascii="Times New Roman" w:hAnsi="Times New Roman" w:cs="Times New Roman"/>
          <w:color w:val="403152" w:themeColor="accent4" w:themeShade="80"/>
          <w:sz w:val="24"/>
          <w:szCs w:val="24"/>
        </w:rPr>
        <w:t xml:space="preserve"> differs depending on whether it is </w:t>
      </w:r>
      <w:r w:rsidR="00080B0C">
        <w:rPr>
          <w:rFonts w:ascii="Times New Roman" w:hAnsi="Times New Roman" w:cs="Times New Roman"/>
          <w:color w:val="403152" w:themeColor="accent4" w:themeShade="80"/>
          <w:sz w:val="24"/>
          <w:szCs w:val="24"/>
        </w:rPr>
        <w:t xml:space="preserve">held </w:t>
      </w:r>
      <w:r w:rsidR="00080B0C" w:rsidRPr="00616771">
        <w:rPr>
          <w:rFonts w:ascii="Times New Roman" w:hAnsi="Times New Roman" w:cs="Times New Roman"/>
          <w:color w:val="403152" w:themeColor="accent4" w:themeShade="80"/>
          <w:sz w:val="24"/>
          <w:szCs w:val="24"/>
        </w:rPr>
        <w:t xml:space="preserve">in a work made for hire or </w:t>
      </w:r>
      <w:r w:rsidR="00080B0C">
        <w:rPr>
          <w:rFonts w:ascii="Times New Roman" w:hAnsi="Times New Roman" w:cs="Times New Roman"/>
          <w:color w:val="403152" w:themeColor="accent4" w:themeShade="80"/>
          <w:sz w:val="24"/>
          <w:szCs w:val="24"/>
        </w:rPr>
        <w:t>in a transfer of copyright ownership</w:t>
      </w:r>
      <w:r w:rsidR="00080B0C" w:rsidRPr="00616771">
        <w:rPr>
          <w:rFonts w:ascii="Times New Roman" w:hAnsi="Times New Roman" w:cs="Times New Roman"/>
          <w:color w:val="403152" w:themeColor="accent4" w:themeShade="80"/>
          <w:sz w:val="24"/>
          <w:szCs w:val="24"/>
        </w:rPr>
        <w:t>.</w:t>
      </w:r>
      <w:r w:rsidR="00080B0C">
        <w:rPr>
          <w:rFonts w:ascii="Times New Roman" w:hAnsi="Times New Roman" w:cs="Times New Roman"/>
          <w:color w:val="403152" w:themeColor="accent4" w:themeShade="80"/>
          <w:sz w:val="24"/>
          <w:szCs w:val="24"/>
        </w:rPr>
        <w:t xml:space="preserve"> </w:t>
      </w:r>
      <w:bookmarkStart w:id="31" w:name="CITRUS_BOOKMARK1000000035"/>
      <w:proofErr w:type="gramStart"/>
      <w:r w:rsidR="002912A0">
        <w:rPr>
          <w:rFonts w:ascii="Times New Roman" w:hAnsi="Times New Roman" w:cs="Times New Roman"/>
          <w:color w:val="403152" w:themeColor="accent4" w:themeShade="80"/>
          <w:sz w:val="24"/>
          <w:szCs w:val="24"/>
        </w:rPr>
        <w:t>17 U.S.C. § 302</w:t>
      </w:r>
      <w:bookmarkEnd w:id="31"/>
      <w:r w:rsidR="00080B0C">
        <w:rPr>
          <w:rFonts w:ascii="Times New Roman" w:hAnsi="Times New Roman" w:cs="Times New Roman"/>
          <w:color w:val="403152" w:themeColor="accent4" w:themeShade="80"/>
          <w:sz w:val="24"/>
          <w:szCs w:val="24"/>
        </w:rPr>
        <w:t>.</w:t>
      </w:r>
      <w:proofErr w:type="gramEnd"/>
    </w:p>
    <w:p w14:paraId="384CBDB6" w14:textId="77777777" w:rsidR="00C22A1B" w:rsidRDefault="00306ECD" w:rsidP="00A127D8">
      <w:pPr>
        <w:spacing w:line="480" w:lineRule="auto"/>
        <w:ind w:firstLine="720"/>
        <w:contextualSpacing/>
        <w:rPr>
          <w:rFonts w:ascii="Times New Roman" w:hAnsi="Times New Roman" w:cs="Times New Roman"/>
          <w:color w:val="403152" w:themeColor="accent4" w:themeShade="80"/>
          <w:sz w:val="24"/>
          <w:szCs w:val="24"/>
        </w:rPr>
      </w:pPr>
      <w:r>
        <w:rPr>
          <w:rFonts w:ascii="Times New Roman" w:hAnsi="Times New Roman" w:cs="Times New Roman"/>
          <w:color w:val="403152" w:themeColor="accent4" w:themeShade="80"/>
          <w:sz w:val="24"/>
          <w:szCs w:val="24"/>
        </w:rPr>
        <w:t xml:space="preserve">None of the relevant Sections of the Copyright Act explicitly prescribe the timing of the signed writing relative to the establishment of </w:t>
      </w:r>
      <w:r w:rsidR="00A127D8">
        <w:rPr>
          <w:rFonts w:ascii="Times New Roman" w:hAnsi="Times New Roman" w:cs="Times New Roman"/>
          <w:color w:val="403152" w:themeColor="accent4" w:themeShade="80"/>
          <w:sz w:val="24"/>
          <w:szCs w:val="24"/>
        </w:rPr>
        <w:t xml:space="preserve">copyright </w:t>
      </w:r>
      <w:r>
        <w:rPr>
          <w:rFonts w:ascii="Times New Roman" w:hAnsi="Times New Roman" w:cs="Times New Roman"/>
          <w:color w:val="403152" w:themeColor="accent4" w:themeShade="80"/>
          <w:sz w:val="24"/>
          <w:szCs w:val="24"/>
        </w:rPr>
        <w:t>ownership</w:t>
      </w:r>
      <w:r w:rsidR="00A127D8">
        <w:rPr>
          <w:rFonts w:ascii="Times New Roman" w:hAnsi="Times New Roman" w:cs="Times New Roman"/>
          <w:color w:val="403152" w:themeColor="accent4" w:themeShade="80"/>
          <w:sz w:val="24"/>
          <w:szCs w:val="24"/>
        </w:rPr>
        <w:t xml:space="preserve"> or the creation of the work</w:t>
      </w:r>
      <w:r>
        <w:rPr>
          <w:rFonts w:ascii="Times New Roman" w:hAnsi="Times New Roman" w:cs="Times New Roman"/>
          <w:color w:val="403152" w:themeColor="accent4" w:themeShade="80"/>
          <w:sz w:val="24"/>
          <w:szCs w:val="24"/>
        </w:rPr>
        <w:t>.</w:t>
      </w:r>
      <w:r w:rsidR="00C66C98">
        <w:rPr>
          <w:rFonts w:ascii="Times New Roman" w:hAnsi="Times New Roman" w:cs="Times New Roman"/>
          <w:color w:val="403152" w:themeColor="accent4" w:themeShade="80"/>
          <w:sz w:val="24"/>
          <w:szCs w:val="24"/>
        </w:rPr>
        <w:t xml:space="preserve"> Transfers of copyright ownership can logically happen before or after the creation of a work, and maintaining consistency within the </w:t>
      </w:r>
      <w:r w:rsidR="00A127D8">
        <w:rPr>
          <w:rFonts w:ascii="Times New Roman" w:hAnsi="Times New Roman" w:cs="Times New Roman"/>
          <w:color w:val="403152" w:themeColor="accent4" w:themeShade="80"/>
          <w:sz w:val="24"/>
          <w:szCs w:val="24"/>
        </w:rPr>
        <w:t>Copyright Act</w:t>
      </w:r>
      <w:r w:rsidR="00C66C98">
        <w:rPr>
          <w:rFonts w:ascii="Times New Roman" w:hAnsi="Times New Roman" w:cs="Times New Roman"/>
          <w:color w:val="403152" w:themeColor="accent4" w:themeShade="80"/>
          <w:sz w:val="24"/>
          <w:szCs w:val="24"/>
        </w:rPr>
        <w:t xml:space="preserve"> as a whole dictates a similar approach to transactions involving works made for hire. </w:t>
      </w:r>
      <w:r w:rsidR="00C22A1B">
        <w:rPr>
          <w:rFonts w:ascii="Times New Roman" w:hAnsi="Times New Roman" w:cs="Times New Roman"/>
          <w:color w:val="403152" w:themeColor="accent4" w:themeShade="80"/>
          <w:sz w:val="24"/>
          <w:szCs w:val="24"/>
        </w:rPr>
        <w:t xml:space="preserve">If both “transfers of copyright ownership” and commissions of a “work made for hire” can happen before or after the creation of the work in question, in </w:t>
      </w:r>
      <w:r w:rsidR="00A127D8">
        <w:rPr>
          <w:rFonts w:ascii="Times New Roman" w:hAnsi="Times New Roman" w:cs="Times New Roman"/>
          <w:color w:val="403152" w:themeColor="accent4" w:themeShade="80"/>
          <w:sz w:val="24"/>
          <w:szCs w:val="24"/>
        </w:rPr>
        <w:t xml:space="preserve">order to refrain </w:t>
      </w:r>
      <w:r w:rsidR="00C66C98">
        <w:rPr>
          <w:rFonts w:ascii="Times New Roman" w:hAnsi="Times New Roman" w:cs="Times New Roman"/>
          <w:color w:val="403152" w:themeColor="accent4" w:themeShade="80"/>
          <w:sz w:val="24"/>
          <w:szCs w:val="24"/>
        </w:rPr>
        <w:t>from construing any redundancy</w:t>
      </w:r>
      <w:r w:rsidR="00A127D8">
        <w:rPr>
          <w:rFonts w:ascii="Times New Roman" w:hAnsi="Times New Roman" w:cs="Times New Roman"/>
          <w:color w:val="403152" w:themeColor="accent4" w:themeShade="80"/>
          <w:sz w:val="24"/>
          <w:szCs w:val="24"/>
        </w:rPr>
        <w:t xml:space="preserve"> in the Copyright Act</w:t>
      </w:r>
      <w:r w:rsidR="00C22A1B">
        <w:rPr>
          <w:rFonts w:ascii="Times New Roman" w:hAnsi="Times New Roman" w:cs="Times New Roman"/>
          <w:color w:val="403152" w:themeColor="accent4" w:themeShade="80"/>
          <w:sz w:val="24"/>
          <w:szCs w:val="24"/>
        </w:rPr>
        <w:t xml:space="preserve"> between a “transfer of copyright ownership” and a commission of a “work made for hire</w:t>
      </w:r>
      <w:r w:rsidR="00C66C98">
        <w:rPr>
          <w:rFonts w:ascii="Times New Roman" w:hAnsi="Times New Roman" w:cs="Times New Roman"/>
          <w:color w:val="403152" w:themeColor="accent4" w:themeShade="80"/>
          <w:sz w:val="24"/>
          <w:szCs w:val="24"/>
        </w:rPr>
        <w:t>,</w:t>
      </w:r>
      <w:r w:rsidR="00C22A1B">
        <w:rPr>
          <w:rFonts w:ascii="Times New Roman" w:hAnsi="Times New Roman" w:cs="Times New Roman"/>
          <w:color w:val="403152" w:themeColor="accent4" w:themeShade="80"/>
          <w:sz w:val="24"/>
          <w:szCs w:val="24"/>
        </w:rPr>
        <w:t>”</w:t>
      </w:r>
      <w:r w:rsidR="00C66C98">
        <w:rPr>
          <w:rFonts w:ascii="Times New Roman" w:hAnsi="Times New Roman" w:cs="Times New Roman"/>
          <w:color w:val="403152" w:themeColor="accent4" w:themeShade="80"/>
          <w:sz w:val="24"/>
          <w:szCs w:val="24"/>
        </w:rPr>
        <w:t xml:space="preserve"> the two </w:t>
      </w:r>
      <w:r w:rsidR="00A127D8">
        <w:rPr>
          <w:rFonts w:ascii="Times New Roman" w:hAnsi="Times New Roman" w:cs="Times New Roman"/>
          <w:color w:val="403152" w:themeColor="accent4" w:themeShade="80"/>
          <w:sz w:val="24"/>
          <w:szCs w:val="24"/>
        </w:rPr>
        <w:t xml:space="preserve">types of transactions </w:t>
      </w:r>
      <w:r w:rsidR="00C22A1B">
        <w:rPr>
          <w:rFonts w:ascii="Times New Roman" w:hAnsi="Times New Roman" w:cs="Times New Roman"/>
          <w:color w:val="403152" w:themeColor="accent4" w:themeShade="80"/>
          <w:sz w:val="24"/>
          <w:szCs w:val="24"/>
        </w:rPr>
        <w:t xml:space="preserve">must be interpreted to have at least one differentiating factor. The only difference in </w:t>
      </w:r>
      <w:r w:rsidR="00C22A1B">
        <w:rPr>
          <w:rFonts w:ascii="Times New Roman" w:hAnsi="Times New Roman" w:cs="Times New Roman"/>
          <w:color w:val="403152" w:themeColor="accent4" w:themeShade="80"/>
          <w:sz w:val="24"/>
          <w:szCs w:val="24"/>
        </w:rPr>
        <w:lastRenderedPageBreak/>
        <w:t>the plain language of the statute is</w:t>
      </w:r>
      <w:r w:rsidR="00A127D8">
        <w:rPr>
          <w:rFonts w:ascii="Times New Roman" w:hAnsi="Times New Roman" w:cs="Times New Roman"/>
          <w:color w:val="403152" w:themeColor="accent4" w:themeShade="80"/>
          <w:sz w:val="24"/>
          <w:szCs w:val="24"/>
        </w:rPr>
        <w:t xml:space="preserve"> in</w:t>
      </w:r>
      <w:r w:rsidR="00C66C98">
        <w:rPr>
          <w:rFonts w:ascii="Times New Roman" w:hAnsi="Times New Roman" w:cs="Times New Roman"/>
          <w:color w:val="403152" w:themeColor="accent4" w:themeShade="80"/>
          <w:sz w:val="24"/>
          <w:szCs w:val="24"/>
        </w:rPr>
        <w:t xml:space="preserve"> what the signed written instrument</w:t>
      </w:r>
      <w:r w:rsidR="00C22A1B">
        <w:rPr>
          <w:rFonts w:ascii="Times New Roman" w:hAnsi="Times New Roman" w:cs="Times New Roman"/>
          <w:color w:val="403152" w:themeColor="accent4" w:themeShade="80"/>
          <w:sz w:val="24"/>
          <w:szCs w:val="24"/>
        </w:rPr>
        <w:t>s of transaction expressly state</w:t>
      </w:r>
      <w:r w:rsidR="00C66C98">
        <w:rPr>
          <w:rFonts w:ascii="Times New Roman" w:hAnsi="Times New Roman" w:cs="Times New Roman"/>
          <w:color w:val="403152" w:themeColor="accent4" w:themeShade="80"/>
          <w:sz w:val="24"/>
          <w:szCs w:val="24"/>
        </w:rPr>
        <w:t xml:space="preserve">, </w:t>
      </w:r>
      <w:r w:rsidR="00A127D8">
        <w:rPr>
          <w:rFonts w:ascii="Times New Roman" w:hAnsi="Times New Roman" w:cs="Times New Roman"/>
          <w:color w:val="403152" w:themeColor="accent4" w:themeShade="80"/>
          <w:sz w:val="24"/>
          <w:szCs w:val="24"/>
        </w:rPr>
        <w:t>meaning</w:t>
      </w:r>
      <w:r w:rsidR="00C66C98">
        <w:rPr>
          <w:rFonts w:ascii="Times New Roman" w:hAnsi="Times New Roman" w:cs="Times New Roman"/>
          <w:color w:val="403152" w:themeColor="accent4" w:themeShade="80"/>
          <w:sz w:val="24"/>
          <w:szCs w:val="24"/>
        </w:rPr>
        <w:t xml:space="preserve"> that the intentions of the parties must be the differentiating factor.</w:t>
      </w:r>
    </w:p>
    <w:p w14:paraId="7316BA7E" w14:textId="77777777" w:rsidR="00E912DE" w:rsidRPr="00E912DE" w:rsidRDefault="00C66C98" w:rsidP="00596F35">
      <w:pPr>
        <w:spacing w:line="480" w:lineRule="auto"/>
        <w:ind w:firstLine="720"/>
        <w:contextualSpacing/>
        <w:rPr>
          <w:rFonts w:ascii="Times New Roman" w:hAnsi="Times New Roman" w:cs="Times New Roman"/>
          <w:color w:val="403152" w:themeColor="accent4" w:themeShade="80"/>
          <w:sz w:val="24"/>
          <w:szCs w:val="24"/>
        </w:rPr>
      </w:pPr>
      <w:r>
        <w:rPr>
          <w:rFonts w:ascii="Times New Roman" w:hAnsi="Times New Roman" w:cs="Times New Roman"/>
          <w:color w:val="403152" w:themeColor="accent4" w:themeShade="80"/>
          <w:sz w:val="24"/>
          <w:szCs w:val="24"/>
        </w:rPr>
        <w:t xml:space="preserve">In </w:t>
      </w:r>
      <w:r w:rsidR="00C22A1B">
        <w:rPr>
          <w:rFonts w:ascii="Times New Roman" w:hAnsi="Times New Roman" w:cs="Times New Roman"/>
          <w:color w:val="403152" w:themeColor="accent4" w:themeShade="80"/>
          <w:sz w:val="24"/>
          <w:szCs w:val="24"/>
        </w:rPr>
        <w:t>this</w:t>
      </w:r>
      <w:r>
        <w:rPr>
          <w:rFonts w:ascii="Times New Roman" w:hAnsi="Times New Roman" w:cs="Times New Roman"/>
          <w:color w:val="403152" w:themeColor="accent4" w:themeShade="80"/>
          <w:sz w:val="24"/>
          <w:szCs w:val="24"/>
        </w:rPr>
        <w:t xml:space="preserve"> case of a post-creation signed writing</w:t>
      </w:r>
      <w:r w:rsidRPr="00427A13">
        <w:rPr>
          <w:rFonts w:ascii="Times New Roman" w:hAnsi="Times New Roman" w:cs="Times New Roman"/>
          <w:color w:val="403152" w:themeColor="accent4" w:themeShade="80"/>
          <w:sz w:val="24"/>
          <w:szCs w:val="24"/>
        </w:rPr>
        <w:t>, confirmin</w:t>
      </w:r>
      <w:r w:rsidR="00C22A1B" w:rsidRPr="00427A13">
        <w:rPr>
          <w:rFonts w:ascii="Times New Roman" w:hAnsi="Times New Roman" w:cs="Times New Roman"/>
          <w:color w:val="403152" w:themeColor="accent4" w:themeShade="80"/>
          <w:sz w:val="24"/>
          <w:szCs w:val="24"/>
        </w:rPr>
        <w:t>g</w:t>
      </w:r>
      <w:r w:rsidR="00C22A1B">
        <w:rPr>
          <w:rFonts w:ascii="Times New Roman" w:hAnsi="Times New Roman" w:cs="Times New Roman"/>
          <w:color w:val="403152" w:themeColor="accent4" w:themeShade="80"/>
          <w:sz w:val="24"/>
          <w:szCs w:val="24"/>
        </w:rPr>
        <w:t xml:space="preserve"> a pre-creation agreement that “Anticipatory Repudiation” </w:t>
      </w:r>
      <w:r>
        <w:rPr>
          <w:rFonts w:ascii="Times New Roman" w:hAnsi="Times New Roman" w:cs="Times New Roman"/>
          <w:color w:val="403152" w:themeColor="accent4" w:themeShade="80"/>
          <w:sz w:val="24"/>
          <w:szCs w:val="24"/>
        </w:rPr>
        <w:t>is</w:t>
      </w:r>
      <w:r w:rsidR="00C22A1B">
        <w:rPr>
          <w:rFonts w:ascii="Times New Roman" w:hAnsi="Times New Roman" w:cs="Times New Roman"/>
          <w:color w:val="403152" w:themeColor="accent4" w:themeShade="80"/>
          <w:sz w:val="24"/>
          <w:szCs w:val="24"/>
        </w:rPr>
        <w:t xml:space="preserve"> a work </w:t>
      </w:r>
      <w:r>
        <w:rPr>
          <w:rFonts w:ascii="Times New Roman" w:hAnsi="Times New Roman" w:cs="Times New Roman"/>
          <w:color w:val="403152" w:themeColor="accent4" w:themeShade="80"/>
          <w:sz w:val="24"/>
          <w:szCs w:val="24"/>
        </w:rPr>
        <w:t xml:space="preserve">made for hire, </w:t>
      </w:r>
      <w:r w:rsidR="00C22A1B">
        <w:rPr>
          <w:rFonts w:ascii="Times New Roman" w:hAnsi="Times New Roman" w:cs="Times New Roman"/>
          <w:color w:val="403152" w:themeColor="accent4" w:themeShade="80"/>
          <w:sz w:val="24"/>
          <w:szCs w:val="24"/>
        </w:rPr>
        <w:t xml:space="preserve">Lime, the original creator, </w:t>
      </w:r>
      <w:r>
        <w:rPr>
          <w:rFonts w:ascii="Times New Roman" w:hAnsi="Times New Roman" w:cs="Times New Roman"/>
          <w:color w:val="403152" w:themeColor="accent4" w:themeShade="80"/>
          <w:sz w:val="24"/>
          <w:szCs w:val="24"/>
        </w:rPr>
        <w:t xml:space="preserve">is </w:t>
      </w:r>
      <w:r w:rsidR="00C22A1B">
        <w:rPr>
          <w:rFonts w:ascii="Times New Roman" w:hAnsi="Times New Roman" w:cs="Times New Roman"/>
          <w:color w:val="403152" w:themeColor="accent4" w:themeShade="80"/>
          <w:sz w:val="24"/>
          <w:szCs w:val="24"/>
        </w:rPr>
        <w:t>expressly stating her intent</w:t>
      </w:r>
      <w:r>
        <w:rPr>
          <w:rFonts w:ascii="Times New Roman" w:hAnsi="Times New Roman" w:cs="Times New Roman"/>
          <w:color w:val="403152" w:themeColor="accent4" w:themeShade="80"/>
          <w:sz w:val="24"/>
          <w:szCs w:val="24"/>
        </w:rPr>
        <w:t xml:space="preserve"> to vest </w:t>
      </w:r>
      <w:r w:rsidR="00A127D8">
        <w:rPr>
          <w:rFonts w:ascii="Times New Roman" w:hAnsi="Times New Roman" w:cs="Times New Roman"/>
          <w:color w:val="403152" w:themeColor="accent4" w:themeShade="80"/>
          <w:sz w:val="24"/>
          <w:szCs w:val="24"/>
        </w:rPr>
        <w:t xml:space="preserve">both </w:t>
      </w:r>
      <w:r>
        <w:rPr>
          <w:rFonts w:ascii="Times New Roman" w:hAnsi="Times New Roman" w:cs="Times New Roman"/>
          <w:color w:val="403152" w:themeColor="accent4" w:themeShade="80"/>
          <w:sz w:val="24"/>
          <w:szCs w:val="24"/>
        </w:rPr>
        <w:t>ownership</w:t>
      </w:r>
      <w:r w:rsidR="00A127D8">
        <w:rPr>
          <w:rFonts w:ascii="Times New Roman" w:hAnsi="Times New Roman" w:cs="Times New Roman"/>
          <w:color w:val="403152" w:themeColor="accent4" w:themeShade="80"/>
          <w:sz w:val="24"/>
          <w:szCs w:val="24"/>
        </w:rPr>
        <w:t xml:space="preserve"> </w:t>
      </w:r>
      <w:r w:rsidR="00A127D8" w:rsidRPr="00A127D8">
        <w:rPr>
          <w:rFonts w:ascii="Times New Roman" w:hAnsi="Times New Roman" w:cs="Times New Roman"/>
          <w:i/>
          <w:color w:val="403152" w:themeColor="accent4" w:themeShade="80"/>
          <w:sz w:val="24"/>
          <w:szCs w:val="24"/>
        </w:rPr>
        <w:t>and</w:t>
      </w:r>
      <w:r w:rsidR="00A127D8">
        <w:rPr>
          <w:rFonts w:ascii="Times New Roman" w:hAnsi="Times New Roman" w:cs="Times New Roman"/>
          <w:color w:val="403152" w:themeColor="accent4" w:themeShade="80"/>
          <w:sz w:val="24"/>
          <w:szCs w:val="24"/>
        </w:rPr>
        <w:t xml:space="preserve"> authorship</w:t>
      </w:r>
      <w:r>
        <w:rPr>
          <w:rFonts w:ascii="Times New Roman" w:hAnsi="Times New Roman" w:cs="Times New Roman"/>
          <w:color w:val="403152" w:themeColor="accent4" w:themeShade="80"/>
          <w:sz w:val="24"/>
          <w:szCs w:val="24"/>
        </w:rPr>
        <w:t xml:space="preserve"> </w:t>
      </w:r>
      <w:r w:rsidR="00C22A1B">
        <w:rPr>
          <w:rFonts w:ascii="Times New Roman" w:hAnsi="Times New Roman" w:cs="Times New Roman"/>
          <w:color w:val="403152" w:themeColor="accent4" w:themeShade="80"/>
          <w:sz w:val="24"/>
          <w:szCs w:val="24"/>
        </w:rPr>
        <w:t xml:space="preserve">of the copyright </w:t>
      </w:r>
      <w:r>
        <w:rPr>
          <w:rFonts w:ascii="Times New Roman" w:hAnsi="Times New Roman" w:cs="Times New Roman"/>
          <w:color w:val="403152" w:themeColor="accent4" w:themeShade="80"/>
          <w:sz w:val="24"/>
          <w:szCs w:val="24"/>
        </w:rPr>
        <w:t xml:space="preserve">in another </w:t>
      </w:r>
      <w:r w:rsidR="00A127D8">
        <w:rPr>
          <w:rFonts w:ascii="Times New Roman" w:hAnsi="Times New Roman" w:cs="Times New Roman"/>
          <w:color w:val="403152" w:themeColor="accent4" w:themeShade="80"/>
          <w:sz w:val="24"/>
          <w:szCs w:val="24"/>
        </w:rPr>
        <w:t>entity, not just ownership</w:t>
      </w:r>
      <w:r w:rsidR="00C22A1B">
        <w:rPr>
          <w:rFonts w:ascii="Times New Roman" w:hAnsi="Times New Roman" w:cs="Times New Roman"/>
          <w:color w:val="403152" w:themeColor="accent4" w:themeShade="80"/>
          <w:sz w:val="24"/>
          <w:szCs w:val="24"/>
        </w:rPr>
        <w:t xml:space="preserve"> as would occur with a transfer.</w:t>
      </w:r>
    </w:p>
    <w:p w14:paraId="49FD69A3" w14:textId="77777777" w:rsidR="00D1354C" w:rsidRPr="00E519DB" w:rsidRDefault="00D9030E" w:rsidP="00596F35">
      <w:pPr>
        <w:pStyle w:val="ListParagraph"/>
        <w:numPr>
          <w:ilvl w:val="0"/>
          <w:numId w:val="2"/>
        </w:numPr>
        <w:spacing w:line="240" w:lineRule="auto"/>
        <w:rPr>
          <w:rFonts w:ascii="Times New Roman" w:hAnsi="Times New Roman" w:cs="Times New Roman"/>
          <w:b/>
          <w:color w:val="403152" w:themeColor="accent4" w:themeShade="80"/>
          <w:sz w:val="24"/>
          <w:szCs w:val="24"/>
        </w:rPr>
      </w:pPr>
      <w:r w:rsidRPr="00E519DB">
        <w:rPr>
          <w:rFonts w:ascii="Times New Roman" w:hAnsi="Times New Roman" w:cs="Times New Roman"/>
          <w:b/>
          <w:color w:val="403152" w:themeColor="accent4" w:themeShade="80"/>
          <w:sz w:val="24"/>
          <w:szCs w:val="24"/>
        </w:rPr>
        <w:t xml:space="preserve">Congress Did Not Intend </w:t>
      </w:r>
      <w:r w:rsidR="00887210">
        <w:rPr>
          <w:rFonts w:ascii="Times New Roman" w:hAnsi="Times New Roman" w:cs="Times New Roman"/>
          <w:b/>
          <w:color w:val="403152" w:themeColor="accent4" w:themeShade="80"/>
          <w:sz w:val="24"/>
          <w:szCs w:val="24"/>
        </w:rPr>
        <w:t>To Require</w:t>
      </w:r>
      <w:r w:rsidRPr="00E519DB">
        <w:rPr>
          <w:rFonts w:ascii="Times New Roman" w:hAnsi="Times New Roman" w:cs="Times New Roman"/>
          <w:b/>
          <w:color w:val="403152" w:themeColor="accent4" w:themeShade="80"/>
          <w:sz w:val="24"/>
          <w:szCs w:val="24"/>
        </w:rPr>
        <w:t xml:space="preserve"> </w:t>
      </w:r>
      <w:r w:rsidR="00887210">
        <w:rPr>
          <w:rFonts w:ascii="Times New Roman" w:hAnsi="Times New Roman" w:cs="Times New Roman"/>
          <w:b/>
          <w:color w:val="403152" w:themeColor="accent4" w:themeShade="80"/>
          <w:sz w:val="24"/>
          <w:szCs w:val="24"/>
        </w:rPr>
        <w:t xml:space="preserve">The Signed Written Agreement </w:t>
      </w:r>
      <w:r w:rsidRPr="00E519DB">
        <w:rPr>
          <w:rFonts w:ascii="Times New Roman" w:hAnsi="Times New Roman" w:cs="Times New Roman"/>
          <w:b/>
          <w:color w:val="403152" w:themeColor="accent4" w:themeShade="80"/>
          <w:sz w:val="24"/>
          <w:szCs w:val="24"/>
        </w:rPr>
        <w:t>To Necessarily Precede</w:t>
      </w:r>
      <w:r w:rsidR="00887210">
        <w:rPr>
          <w:rFonts w:ascii="Times New Roman" w:hAnsi="Times New Roman" w:cs="Times New Roman"/>
          <w:b/>
          <w:color w:val="403152" w:themeColor="accent4" w:themeShade="80"/>
          <w:sz w:val="24"/>
          <w:szCs w:val="24"/>
        </w:rPr>
        <w:t xml:space="preserve"> The</w:t>
      </w:r>
      <w:r w:rsidRPr="00E519DB">
        <w:rPr>
          <w:rFonts w:ascii="Times New Roman" w:hAnsi="Times New Roman" w:cs="Times New Roman"/>
          <w:b/>
          <w:color w:val="403152" w:themeColor="accent4" w:themeShade="80"/>
          <w:sz w:val="24"/>
          <w:szCs w:val="24"/>
        </w:rPr>
        <w:t xml:space="preserve"> Creation Of “Anticipatory Repudiation” </w:t>
      </w:r>
      <w:r w:rsidR="00887210">
        <w:rPr>
          <w:rFonts w:ascii="Times New Roman" w:hAnsi="Times New Roman" w:cs="Times New Roman"/>
          <w:b/>
          <w:color w:val="403152" w:themeColor="accent4" w:themeShade="80"/>
          <w:sz w:val="24"/>
          <w:szCs w:val="24"/>
        </w:rPr>
        <w:t xml:space="preserve">As </w:t>
      </w:r>
      <w:r w:rsidRPr="00E519DB">
        <w:rPr>
          <w:rFonts w:ascii="Times New Roman" w:hAnsi="Times New Roman" w:cs="Times New Roman"/>
          <w:b/>
          <w:color w:val="403152" w:themeColor="accent4" w:themeShade="80"/>
          <w:sz w:val="24"/>
          <w:szCs w:val="24"/>
        </w:rPr>
        <w:t>A Work Made For Hire.</w:t>
      </w:r>
    </w:p>
    <w:p w14:paraId="19CA616B" w14:textId="77777777" w:rsidR="00674047" w:rsidRDefault="00361F0B" w:rsidP="00596F35">
      <w:pPr>
        <w:spacing w:line="480" w:lineRule="auto"/>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ab/>
      </w:r>
      <w:r w:rsidR="00281E13" w:rsidRPr="00E519DB">
        <w:rPr>
          <w:rFonts w:ascii="Times New Roman" w:hAnsi="Times New Roman" w:cs="Times New Roman"/>
          <w:color w:val="403152" w:themeColor="accent4" w:themeShade="80"/>
          <w:sz w:val="24"/>
          <w:szCs w:val="24"/>
        </w:rPr>
        <w:t>If a court cannot interpret a statute based solely on the plain meaning, it is necessary to turn to the legislative history</w:t>
      </w:r>
      <w:r w:rsidR="00674047">
        <w:rPr>
          <w:rFonts w:ascii="Times New Roman" w:hAnsi="Times New Roman" w:cs="Times New Roman"/>
          <w:color w:val="403152" w:themeColor="accent4" w:themeShade="80"/>
          <w:sz w:val="24"/>
          <w:szCs w:val="24"/>
        </w:rPr>
        <w:t xml:space="preserve"> to determine Congressional intent</w:t>
      </w:r>
      <w:r w:rsidR="00281E13" w:rsidRPr="00E519DB">
        <w:rPr>
          <w:rFonts w:ascii="Times New Roman" w:hAnsi="Times New Roman" w:cs="Times New Roman"/>
          <w:color w:val="403152" w:themeColor="accent4" w:themeShade="80"/>
          <w:sz w:val="24"/>
          <w:szCs w:val="24"/>
        </w:rPr>
        <w:t xml:space="preserve">. </w:t>
      </w:r>
      <w:bookmarkStart w:id="32" w:name="CITRUS_BOOKMARK36"/>
      <w:r w:rsidR="00281E13" w:rsidRPr="00427A13">
        <w:rPr>
          <w:rFonts w:ascii="Times New Roman" w:hAnsi="Times New Roman" w:cs="Times New Roman"/>
          <w:i/>
          <w:color w:val="403152" w:themeColor="accent4" w:themeShade="80"/>
          <w:sz w:val="24"/>
          <w:szCs w:val="24"/>
        </w:rPr>
        <w:t>Fla. Power</w:t>
      </w:r>
      <w:r w:rsidR="00D535DF" w:rsidRPr="00427A13">
        <w:rPr>
          <w:rFonts w:ascii="Times New Roman" w:hAnsi="Times New Roman" w:cs="Times New Roman"/>
          <w:i/>
          <w:color w:val="403152" w:themeColor="accent4" w:themeShade="80"/>
          <w:sz w:val="24"/>
          <w:szCs w:val="24"/>
        </w:rPr>
        <w:t xml:space="preserve"> &amp; Light Co. v. </w:t>
      </w:r>
      <w:proofErr w:type="spellStart"/>
      <w:r w:rsidR="00D535DF" w:rsidRPr="00427A13">
        <w:rPr>
          <w:rFonts w:ascii="Times New Roman" w:hAnsi="Times New Roman" w:cs="Times New Roman"/>
          <w:i/>
          <w:color w:val="403152" w:themeColor="accent4" w:themeShade="80"/>
          <w:sz w:val="24"/>
          <w:szCs w:val="24"/>
        </w:rPr>
        <w:t>Lorion</w:t>
      </w:r>
      <w:proofErr w:type="spellEnd"/>
      <w:r w:rsidR="00D535DF" w:rsidRPr="0055279B">
        <w:rPr>
          <w:rFonts w:ascii="Times New Roman" w:hAnsi="Times New Roman" w:cs="Times New Roman"/>
          <w:color w:val="403152" w:themeColor="accent4" w:themeShade="80"/>
          <w:sz w:val="24"/>
          <w:szCs w:val="24"/>
        </w:rPr>
        <w:t>, 470 U.S. 729, 737 (1985)</w:t>
      </w:r>
      <w:bookmarkEnd w:id="32"/>
      <w:r w:rsidR="00281E13" w:rsidRPr="00E519DB">
        <w:rPr>
          <w:rFonts w:ascii="Times New Roman" w:hAnsi="Times New Roman" w:cs="Times New Roman"/>
          <w:color w:val="403152" w:themeColor="accent4" w:themeShade="80"/>
          <w:sz w:val="24"/>
          <w:szCs w:val="24"/>
        </w:rPr>
        <w:t xml:space="preserve">. </w:t>
      </w:r>
      <w:r w:rsidR="00887210">
        <w:rPr>
          <w:rFonts w:ascii="Times New Roman" w:hAnsi="Times New Roman" w:cs="Times New Roman"/>
          <w:color w:val="403152" w:themeColor="accent4" w:themeShade="80"/>
          <w:sz w:val="24"/>
          <w:szCs w:val="24"/>
        </w:rPr>
        <w:t xml:space="preserve">There is only one plausible construction of the </w:t>
      </w:r>
      <w:r w:rsidR="00674047">
        <w:rPr>
          <w:rFonts w:ascii="Times New Roman" w:hAnsi="Times New Roman" w:cs="Times New Roman"/>
          <w:color w:val="403152" w:themeColor="accent4" w:themeShade="80"/>
          <w:sz w:val="24"/>
          <w:szCs w:val="24"/>
        </w:rPr>
        <w:t xml:space="preserve">Copyright </w:t>
      </w:r>
      <w:r w:rsidR="00887210">
        <w:rPr>
          <w:rFonts w:ascii="Times New Roman" w:hAnsi="Times New Roman" w:cs="Times New Roman"/>
          <w:color w:val="403152" w:themeColor="accent4" w:themeShade="80"/>
          <w:sz w:val="24"/>
          <w:szCs w:val="24"/>
        </w:rPr>
        <w:t>Act according to its plain language, but even if the Court fin</w:t>
      </w:r>
      <w:r w:rsidR="00674047">
        <w:rPr>
          <w:rFonts w:ascii="Times New Roman" w:hAnsi="Times New Roman" w:cs="Times New Roman"/>
          <w:color w:val="403152" w:themeColor="accent4" w:themeShade="80"/>
          <w:sz w:val="24"/>
          <w:szCs w:val="24"/>
        </w:rPr>
        <w:t xml:space="preserve">ds two plausible constructions, the </w:t>
      </w:r>
      <w:r w:rsidR="000547BB">
        <w:rPr>
          <w:rFonts w:ascii="Times New Roman" w:hAnsi="Times New Roman" w:cs="Times New Roman"/>
          <w:color w:val="403152" w:themeColor="accent4" w:themeShade="80"/>
          <w:sz w:val="24"/>
          <w:szCs w:val="24"/>
        </w:rPr>
        <w:t xml:space="preserve">Copyright </w:t>
      </w:r>
      <w:r w:rsidR="00674047">
        <w:rPr>
          <w:rFonts w:ascii="Times New Roman" w:hAnsi="Times New Roman" w:cs="Times New Roman"/>
          <w:color w:val="403152" w:themeColor="accent4" w:themeShade="80"/>
          <w:sz w:val="24"/>
          <w:szCs w:val="24"/>
        </w:rPr>
        <w:t>Act</w:t>
      </w:r>
      <w:r w:rsidR="00DF3AD4">
        <w:rPr>
          <w:rFonts w:ascii="Times New Roman" w:hAnsi="Times New Roman" w:cs="Times New Roman"/>
          <w:color w:val="403152" w:themeColor="accent4" w:themeShade="80"/>
          <w:sz w:val="24"/>
          <w:szCs w:val="24"/>
        </w:rPr>
        <w:t>’s legislative history</w:t>
      </w:r>
      <w:r w:rsidR="00674047">
        <w:rPr>
          <w:rFonts w:ascii="Times New Roman" w:hAnsi="Times New Roman" w:cs="Times New Roman"/>
          <w:color w:val="403152" w:themeColor="accent4" w:themeShade="80"/>
          <w:sz w:val="24"/>
          <w:szCs w:val="24"/>
        </w:rPr>
        <w:t xml:space="preserve"> demonstrates</w:t>
      </w:r>
      <w:r w:rsidR="00887210">
        <w:rPr>
          <w:rFonts w:ascii="Times New Roman" w:hAnsi="Times New Roman" w:cs="Times New Roman"/>
          <w:color w:val="403152" w:themeColor="accent4" w:themeShade="80"/>
          <w:sz w:val="24"/>
          <w:szCs w:val="24"/>
        </w:rPr>
        <w:t xml:space="preserve"> that Congress did not intend </w:t>
      </w:r>
      <w:r w:rsidR="00DF3AD4">
        <w:rPr>
          <w:rFonts w:ascii="Times New Roman" w:hAnsi="Times New Roman" w:cs="Times New Roman"/>
          <w:color w:val="403152" w:themeColor="accent4" w:themeShade="80"/>
          <w:sz w:val="24"/>
          <w:szCs w:val="24"/>
        </w:rPr>
        <w:t>to require that the</w:t>
      </w:r>
      <w:r w:rsidR="00887210">
        <w:rPr>
          <w:rFonts w:ascii="Times New Roman" w:hAnsi="Times New Roman" w:cs="Times New Roman"/>
          <w:color w:val="403152" w:themeColor="accent4" w:themeShade="80"/>
          <w:sz w:val="24"/>
          <w:szCs w:val="24"/>
        </w:rPr>
        <w:t xml:space="preserve"> </w:t>
      </w:r>
      <w:r w:rsidR="00674047">
        <w:rPr>
          <w:rFonts w:ascii="Times New Roman" w:hAnsi="Times New Roman" w:cs="Times New Roman"/>
          <w:color w:val="403152" w:themeColor="accent4" w:themeShade="80"/>
          <w:sz w:val="24"/>
          <w:szCs w:val="24"/>
        </w:rPr>
        <w:t>written agreement be signed prior to the creation of a work made for hire.</w:t>
      </w:r>
    </w:p>
    <w:p w14:paraId="0407F920" w14:textId="77777777" w:rsidR="00965D90" w:rsidRPr="00E519DB" w:rsidRDefault="00965D90" w:rsidP="00596F35">
      <w:pPr>
        <w:spacing w:line="480" w:lineRule="auto"/>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ab/>
        <w:t xml:space="preserve">In the Congressional Record, Representative </w:t>
      </w:r>
      <w:r w:rsidR="00DF3AD4">
        <w:rPr>
          <w:rFonts w:ascii="Times New Roman" w:hAnsi="Times New Roman" w:cs="Times New Roman"/>
          <w:color w:val="403152" w:themeColor="accent4" w:themeShade="80"/>
          <w:sz w:val="24"/>
          <w:szCs w:val="24"/>
        </w:rPr>
        <w:t xml:space="preserve">Robert </w:t>
      </w:r>
      <w:proofErr w:type="spellStart"/>
      <w:r w:rsidRPr="00E519DB">
        <w:rPr>
          <w:rFonts w:ascii="Times New Roman" w:hAnsi="Times New Roman" w:cs="Times New Roman"/>
          <w:color w:val="403152" w:themeColor="accent4" w:themeShade="80"/>
          <w:sz w:val="24"/>
          <w:szCs w:val="24"/>
        </w:rPr>
        <w:t>Kastenmeier</w:t>
      </w:r>
      <w:proofErr w:type="spellEnd"/>
      <w:r w:rsidRPr="00E519DB">
        <w:rPr>
          <w:rFonts w:ascii="Times New Roman" w:hAnsi="Times New Roman" w:cs="Times New Roman"/>
          <w:color w:val="403152" w:themeColor="accent4" w:themeShade="80"/>
          <w:sz w:val="24"/>
          <w:szCs w:val="24"/>
        </w:rPr>
        <w:t xml:space="preserve"> notes that the authors of the United States Constitution intended the copyright clause to help “achieve a uniformity of the copyright law throughout the </w:t>
      </w:r>
      <w:r w:rsidRPr="00427A13">
        <w:rPr>
          <w:rFonts w:ascii="Times New Roman" w:hAnsi="Times New Roman" w:cs="Times New Roman"/>
          <w:color w:val="403152" w:themeColor="accent4" w:themeShade="80"/>
          <w:sz w:val="24"/>
          <w:szCs w:val="24"/>
        </w:rPr>
        <w:t>country and to avoid the difficulty of enforcing an author’s rights under the differing laws of the several States.”</w:t>
      </w:r>
      <w:r w:rsidR="00427A13" w:rsidRPr="00427A13">
        <w:rPr>
          <w:rFonts w:ascii="Times New Roman" w:hAnsi="Times New Roman" w:cs="Times New Roman"/>
          <w:color w:val="403152" w:themeColor="accent4" w:themeShade="80"/>
          <w:sz w:val="24"/>
          <w:szCs w:val="24"/>
        </w:rPr>
        <w:t xml:space="preserve"> </w:t>
      </w:r>
      <w:r w:rsidR="002912A0" w:rsidRPr="00427A13">
        <w:rPr>
          <w:rFonts w:ascii="Times New Roman" w:hAnsi="Times New Roman" w:cs="Times New Roman"/>
          <w:color w:val="403152" w:themeColor="accent4" w:themeShade="80"/>
          <w:sz w:val="24"/>
          <w:szCs w:val="24"/>
        </w:rPr>
        <w:t>122 Cong. Rec. 31,282</w:t>
      </w:r>
      <w:r w:rsidRPr="00427A13">
        <w:rPr>
          <w:rFonts w:ascii="Times New Roman" w:hAnsi="Times New Roman" w:cs="Times New Roman"/>
          <w:color w:val="403152" w:themeColor="accent4" w:themeShade="80"/>
          <w:sz w:val="24"/>
          <w:szCs w:val="24"/>
        </w:rPr>
        <w:t xml:space="preserve"> (1976) (statement of Rep. </w:t>
      </w:r>
      <w:proofErr w:type="spellStart"/>
      <w:r w:rsidRPr="00427A13">
        <w:rPr>
          <w:rFonts w:ascii="Times New Roman" w:hAnsi="Times New Roman" w:cs="Times New Roman"/>
          <w:color w:val="403152" w:themeColor="accent4" w:themeShade="80"/>
          <w:sz w:val="24"/>
          <w:szCs w:val="24"/>
        </w:rPr>
        <w:t>Kastenmeier</w:t>
      </w:r>
      <w:proofErr w:type="spellEnd"/>
      <w:r w:rsidR="00F0770B" w:rsidRPr="00427A13">
        <w:rPr>
          <w:rFonts w:ascii="Times New Roman" w:hAnsi="Times New Roman" w:cs="Times New Roman"/>
          <w:color w:val="403152" w:themeColor="accent4" w:themeShade="80"/>
          <w:sz w:val="24"/>
          <w:szCs w:val="24"/>
        </w:rPr>
        <w:t>)</w:t>
      </w:r>
      <w:r w:rsidR="000B11DD" w:rsidRPr="00427A13">
        <w:rPr>
          <w:rFonts w:ascii="Times New Roman" w:hAnsi="Times New Roman" w:cs="Times New Roman"/>
          <w:color w:val="403152" w:themeColor="accent4" w:themeShade="80"/>
          <w:sz w:val="24"/>
          <w:szCs w:val="24"/>
        </w:rPr>
        <w:t xml:space="preserve"> </w:t>
      </w:r>
      <w:r w:rsidR="00F0770B" w:rsidRPr="00427A13">
        <w:rPr>
          <w:rFonts w:ascii="Times New Roman" w:hAnsi="Times New Roman" w:cs="Times New Roman"/>
          <w:color w:val="403152" w:themeColor="accent4" w:themeShade="80"/>
          <w:sz w:val="24"/>
          <w:szCs w:val="24"/>
        </w:rPr>
        <w:t>(</w:t>
      </w:r>
      <w:r w:rsidR="000B11DD" w:rsidRPr="00427A13">
        <w:rPr>
          <w:rFonts w:ascii="Times New Roman" w:hAnsi="Times New Roman" w:cs="Times New Roman"/>
          <w:color w:val="403152" w:themeColor="accent4" w:themeShade="80"/>
          <w:sz w:val="24"/>
          <w:szCs w:val="24"/>
        </w:rPr>
        <w:t>referring to</w:t>
      </w:r>
      <w:r w:rsidR="00F0770B" w:rsidRPr="00427A13">
        <w:rPr>
          <w:rFonts w:ascii="Times New Roman" w:hAnsi="Times New Roman" w:cs="Times New Roman"/>
          <w:color w:val="403152" w:themeColor="accent4" w:themeShade="80"/>
          <w:sz w:val="24"/>
          <w:szCs w:val="24"/>
        </w:rPr>
        <w:t xml:space="preserve"> </w:t>
      </w:r>
      <w:bookmarkStart w:id="33" w:name="CITRUS_BOOKMARK1000000037"/>
      <w:r w:rsidR="002912A0" w:rsidRPr="00427A13">
        <w:rPr>
          <w:rFonts w:ascii="Times New Roman" w:hAnsi="Times New Roman" w:cs="Times New Roman"/>
          <w:color w:val="403152" w:themeColor="accent4" w:themeShade="80"/>
          <w:sz w:val="24"/>
          <w:szCs w:val="24"/>
        </w:rPr>
        <w:t>U.S. Const. art I, § 8, cl. 8</w:t>
      </w:r>
      <w:bookmarkEnd w:id="33"/>
      <w:r w:rsidRPr="00427A13">
        <w:rPr>
          <w:rFonts w:ascii="Times New Roman" w:hAnsi="Times New Roman" w:cs="Times New Roman"/>
          <w:color w:val="403152" w:themeColor="accent4" w:themeShade="80"/>
          <w:sz w:val="24"/>
          <w:szCs w:val="24"/>
        </w:rPr>
        <w:t>).</w:t>
      </w:r>
      <w:r w:rsidR="00F0770B" w:rsidRPr="00427A13">
        <w:rPr>
          <w:rFonts w:ascii="Times New Roman" w:hAnsi="Times New Roman" w:cs="Times New Roman"/>
          <w:color w:val="403152" w:themeColor="accent4" w:themeShade="80"/>
          <w:sz w:val="24"/>
          <w:szCs w:val="24"/>
        </w:rPr>
        <w:t xml:space="preserve"> </w:t>
      </w:r>
      <w:r w:rsidR="009A3AA5" w:rsidRPr="00427A13">
        <w:rPr>
          <w:rFonts w:ascii="Times New Roman" w:hAnsi="Times New Roman" w:cs="Times New Roman"/>
          <w:color w:val="403152" w:themeColor="accent4" w:themeShade="80"/>
          <w:sz w:val="24"/>
          <w:szCs w:val="24"/>
        </w:rPr>
        <w:t>Consistent</w:t>
      </w:r>
      <w:r w:rsidR="009A3AA5">
        <w:rPr>
          <w:rFonts w:ascii="Times New Roman" w:hAnsi="Times New Roman" w:cs="Times New Roman"/>
          <w:color w:val="403152" w:themeColor="accent4" w:themeShade="80"/>
          <w:sz w:val="24"/>
          <w:szCs w:val="24"/>
        </w:rPr>
        <w:t xml:space="preserve"> with the </w:t>
      </w:r>
      <w:r w:rsidR="0083494F">
        <w:rPr>
          <w:rFonts w:ascii="Times New Roman" w:hAnsi="Times New Roman" w:cs="Times New Roman"/>
          <w:color w:val="403152" w:themeColor="accent4" w:themeShade="80"/>
          <w:sz w:val="24"/>
          <w:szCs w:val="24"/>
        </w:rPr>
        <w:t xml:space="preserve">United States </w:t>
      </w:r>
      <w:r w:rsidR="009A3AA5">
        <w:rPr>
          <w:rFonts w:ascii="Times New Roman" w:hAnsi="Times New Roman" w:cs="Times New Roman"/>
          <w:color w:val="403152" w:themeColor="accent4" w:themeShade="80"/>
          <w:sz w:val="24"/>
          <w:szCs w:val="24"/>
        </w:rPr>
        <w:t>Constitution, Congress</w:t>
      </w:r>
      <w:r w:rsidR="00F0770B">
        <w:rPr>
          <w:rFonts w:ascii="Times New Roman" w:hAnsi="Times New Roman" w:cs="Times New Roman"/>
          <w:color w:val="403152" w:themeColor="accent4" w:themeShade="80"/>
          <w:sz w:val="24"/>
          <w:szCs w:val="24"/>
        </w:rPr>
        <w:t xml:space="preserve"> </w:t>
      </w:r>
      <w:r w:rsidR="000B11DD">
        <w:rPr>
          <w:rFonts w:ascii="Times New Roman" w:hAnsi="Times New Roman" w:cs="Times New Roman"/>
          <w:color w:val="403152" w:themeColor="accent4" w:themeShade="80"/>
          <w:sz w:val="24"/>
          <w:szCs w:val="24"/>
        </w:rPr>
        <w:t xml:space="preserve">sought </w:t>
      </w:r>
      <w:r w:rsidR="009844AF" w:rsidRPr="00E519DB">
        <w:rPr>
          <w:rFonts w:ascii="Times New Roman" w:hAnsi="Times New Roman" w:cs="Times New Roman"/>
          <w:color w:val="403152" w:themeColor="accent4" w:themeShade="80"/>
          <w:sz w:val="24"/>
          <w:szCs w:val="24"/>
        </w:rPr>
        <w:t xml:space="preserve">to </w:t>
      </w:r>
      <w:r w:rsidR="000B11DD">
        <w:rPr>
          <w:rFonts w:ascii="Times New Roman" w:hAnsi="Times New Roman" w:cs="Times New Roman"/>
          <w:color w:val="403152" w:themeColor="accent4" w:themeShade="80"/>
          <w:sz w:val="24"/>
          <w:szCs w:val="24"/>
        </w:rPr>
        <w:t>promote</w:t>
      </w:r>
      <w:r w:rsidR="009844AF" w:rsidRPr="00E519DB">
        <w:rPr>
          <w:rFonts w:ascii="Times New Roman" w:hAnsi="Times New Roman" w:cs="Times New Roman"/>
          <w:color w:val="403152" w:themeColor="accent4" w:themeShade="80"/>
          <w:sz w:val="24"/>
          <w:szCs w:val="24"/>
        </w:rPr>
        <w:t xml:space="preserve"> the “predictability and certainty of copyright ownership”</w:t>
      </w:r>
      <w:r w:rsidR="0083494F">
        <w:rPr>
          <w:rFonts w:ascii="Times New Roman" w:hAnsi="Times New Roman" w:cs="Times New Roman"/>
          <w:color w:val="403152" w:themeColor="accent4" w:themeShade="80"/>
          <w:sz w:val="24"/>
          <w:szCs w:val="24"/>
        </w:rPr>
        <w:t xml:space="preserve"> in its 1976 revision of the</w:t>
      </w:r>
      <w:r w:rsidR="00D535DF">
        <w:rPr>
          <w:rFonts w:ascii="Times New Roman" w:hAnsi="Times New Roman" w:cs="Times New Roman"/>
          <w:color w:val="403152" w:themeColor="accent4" w:themeShade="80"/>
          <w:sz w:val="24"/>
          <w:szCs w:val="24"/>
        </w:rPr>
        <w:t xml:space="preserve"> Copyright Act.</w:t>
      </w:r>
      <w:r w:rsidR="0083494F">
        <w:rPr>
          <w:rFonts w:ascii="Times New Roman" w:hAnsi="Times New Roman" w:cs="Times New Roman"/>
          <w:color w:val="403152" w:themeColor="accent4" w:themeShade="80"/>
          <w:sz w:val="24"/>
          <w:szCs w:val="24"/>
        </w:rPr>
        <w:t xml:space="preserve"> </w:t>
      </w:r>
      <w:bookmarkStart w:id="34" w:name="CITRUS_BOOKMARK38"/>
      <w:proofErr w:type="spellStart"/>
      <w:r w:rsidR="00D535DF" w:rsidRPr="00427A13">
        <w:rPr>
          <w:rFonts w:ascii="Times New Roman" w:hAnsi="Times New Roman" w:cs="Times New Roman"/>
          <w:i/>
          <w:color w:val="403152" w:themeColor="accent4" w:themeShade="80"/>
          <w:sz w:val="24"/>
          <w:szCs w:val="24"/>
        </w:rPr>
        <w:t>Cmty</w:t>
      </w:r>
      <w:proofErr w:type="spellEnd"/>
      <w:r w:rsidR="00D535DF" w:rsidRPr="00427A13">
        <w:rPr>
          <w:rFonts w:ascii="Times New Roman" w:hAnsi="Times New Roman" w:cs="Times New Roman"/>
          <w:i/>
          <w:color w:val="403152" w:themeColor="accent4" w:themeShade="80"/>
          <w:sz w:val="24"/>
          <w:szCs w:val="24"/>
        </w:rPr>
        <w:t xml:space="preserve">. </w:t>
      </w:r>
      <w:proofErr w:type="gramStart"/>
      <w:r w:rsidR="00D535DF" w:rsidRPr="00427A13">
        <w:rPr>
          <w:rFonts w:ascii="Times New Roman" w:hAnsi="Times New Roman" w:cs="Times New Roman"/>
          <w:i/>
          <w:color w:val="403152" w:themeColor="accent4" w:themeShade="80"/>
          <w:sz w:val="24"/>
          <w:szCs w:val="24"/>
        </w:rPr>
        <w:t>for</w:t>
      </w:r>
      <w:proofErr w:type="gramEnd"/>
      <w:r w:rsidR="00D535DF" w:rsidRPr="00427A13">
        <w:rPr>
          <w:rFonts w:ascii="Times New Roman" w:hAnsi="Times New Roman" w:cs="Times New Roman"/>
          <w:i/>
          <w:color w:val="403152" w:themeColor="accent4" w:themeShade="80"/>
          <w:sz w:val="24"/>
          <w:szCs w:val="24"/>
        </w:rPr>
        <w:t xml:space="preserve"> Creative Non-Violence v. Reid</w:t>
      </w:r>
      <w:r w:rsidR="00D535DF" w:rsidRPr="0055279B">
        <w:rPr>
          <w:rFonts w:ascii="Times New Roman" w:hAnsi="Times New Roman" w:cs="Times New Roman"/>
          <w:color w:val="403152" w:themeColor="accent4" w:themeShade="80"/>
          <w:sz w:val="24"/>
          <w:szCs w:val="24"/>
        </w:rPr>
        <w:t>, 490 U.S. 730, 749 (1989)</w:t>
      </w:r>
      <w:bookmarkEnd w:id="34"/>
      <w:r w:rsidR="009844AF" w:rsidRPr="00E519DB">
        <w:rPr>
          <w:rFonts w:ascii="Times New Roman" w:hAnsi="Times New Roman" w:cs="Times New Roman"/>
          <w:color w:val="403152" w:themeColor="accent4" w:themeShade="80"/>
          <w:sz w:val="24"/>
          <w:szCs w:val="24"/>
        </w:rPr>
        <w:t>.</w:t>
      </w:r>
    </w:p>
    <w:p w14:paraId="40ECFD64" w14:textId="77777777" w:rsidR="00256215" w:rsidRPr="00E27B2A" w:rsidRDefault="00E7020D" w:rsidP="00E7020D">
      <w:pPr>
        <w:spacing w:line="480" w:lineRule="auto"/>
        <w:ind w:firstLine="720"/>
        <w:contextualSpacing/>
        <w:rPr>
          <w:rFonts w:ascii="Times New Roman" w:hAnsi="Times New Roman" w:cs="Times New Roman"/>
          <w:color w:val="403152" w:themeColor="accent4" w:themeShade="80"/>
          <w:sz w:val="24"/>
          <w:szCs w:val="24"/>
        </w:rPr>
      </w:pPr>
      <w:r w:rsidRPr="00E27B2A">
        <w:rPr>
          <w:rFonts w:ascii="Times New Roman" w:hAnsi="Times New Roman" w:cs="Times New Roman"/>
          <w:color w:val="403152" w:themeColor="accent4" w:themeShade="80"/>
          <w:sz w:val="24"/>
          <w:szCs w:val="24"/>
        </w:rPr>
        <w:lastRenderedPageBreak/>
        <w:t>T</w:t>
      </w:r>
      <w:r w:rsidR="008D5E06" w:rsidRPr="00E27B2A">
        <w:rPr>
          <w:rFonts w:ascii="Times New Roman" w:hAnsi="Times New Roman" w:cs="Times New Roman"/>
          <w:color w:val="403152" w:themeColor="accent4" w:themeShade="80"/>
          <w:sz w:val="24"/>
          <w:szCs w:val="24"/>
        </w:rPr>
        <w:t xml:space="preserve">he requirement of a </w:t>
      </w:r>
      <w:r w:rsidR="00BD7D0A" w:rsidRPr="00E27B2A">
        <w:rPr>
          <w:rFonts w:ascii="Times New Roman" w:hAnsi="Times New Roman" w:cs="Times New Roman"/>
          <w:color w:val="403152" w:themeColor="accent4" w:themeShade="80"/>
          <w:sz w:val="24"/>
          <w:szCs w:val="24"/>
        </w:rPr>
        <w:t>written agreement</w:t>
      </w:r>
      <w:r w:rsidRPr="00E27B2A">
        <w:rPr>
          <w:rFonts w:ascii="Times New Roman" w:hAnsi="Times New Roman" w:cs="Times New Roman"/>
          <w:color w:val="403152" w:themeColor="accent4" w:themeShade="80"/>
          <w:sz w:val="24"/>
          <w:szCs w:val="24"/>
        </w:rPr>
        <w:t xml:space="preserve"> </w:t>
      </w:r>
      <w:r w:rsidR="009A3AA5" w:rsidRPr="00E27B2A">
        <w:rPr>
          <w:rFonts w:ascii="Times New Roman" w:hAnsi="Times New Roman" w:cs="Times New Roman"/>
          <w:color w:val="403152" w:themeColor="accent4" w:themeShade="80"/>
          <w:sz w:val="24"/>
          <w:szCs w:val="24"/>
        </w:rPr>
        <w:t>ensures</w:t>
      </w:r>
      <w:r w:rsidRPr="00E27B2A">
        <w:rPr>
          <w:rFonts w:ascii="Times New Roman" w:hAnsi="Times New Roman" w:cs="Times New Roman"/>
          <w:color w:val="403152" w:themeColor="accent4" w:themeShade="80"/>
          <w:sz w:val="24"/>
          <w:szCs w:val="24"/>
        </w:rPr>
        <w:t xml:space="preserve"> </w:t>
      </w:r>
      <w:r w:rsidR="0083494F" w:rsidRPr="00E27B2A">
        <w:rPr>
          <w:rFonts w:ascii="Times New Roman" w:hAnsi="Times New Roman" w:cs="Times New Roman"/>
          <w:color w:val="403152" w:themeColor="accent4" w:themeShade="80"/>
          <w:sz w:val="24"/>
          <w:szCs w:val="24"/>
        </w:rPr>
        <w:t>sufficient</w:t>
      </w:r>
      <w:r w:rsidRPr="00E27B2A">
        <w:rPr>
          <w:rFonts w:ascii="Times New Roman" w:hAnsi="Times New Roman" w:cs="Times New Roman"/>
          <w:color w:val="403152" w:themeColor="accent4" w:themeShade="80"/>
          <w:sz w:val="24"/>
          <w:szCs w:val="24"/>
        </w:rPr>
        <w:t xml:space="preserve"> predictability and certainty of copyright ownership.</w:t>
      </w:r>
      <w:r w:rsidR="008D5E06" w:rsidRPr="00E27B2A">
        <w:rPr>
          <w:rFonts w:ascii="Times New Roman" w:hAnsi="Times New Roman" w:cs="Times New Roman"/>
          <w:color w:val="403152" w:themeColor="accent4" w:themeShade="80"/>
          <w:sz w:val="24"/>
          <w:szCs w:val="24"/>
        </w:rPr>
        <w:t xml:space="preserve"> </w:t>
      </w:r>
      <w:r w:rsidRPr="00E27B2A">
        <w:rPr>
          <w:rFonts w:ascii="Times New Roman" w:hAnsi="Times New Roman" w:cs="Times New Roman"/>
          <w:color w:val="403152" w:themeColor="accent4" w:themeShade="80"/>
          <w:sz w:val="24"/>
          <w:szCs w:val="24"/>
        </w:rPr>
        <w:t xml:space="preserve">As long as it confirms a pre-creation agreement, </w:t>
      </w:r>
      <w:r w:rsidR="00256215" w:rsidRPr="00E27B2A">
        <w:rPr>
          <w:rFonts w:ascii="Times New Roman" w:hAnsi="Times New Roman" w:cs="Times New Roman"/>
          <w:color w:val="403152" w:themeColor="accent4" w:themeShade="80"/>
          <w:sz w:val="24"/>
          <w:szCs w:val="24"/>
        </w:rPr>
        <w:t>the writing</w:t>
      </w:r>
      <w:r w:rsidR="00BD7D0A" w:rsidRPr="00E27B2A">
        <w:rPr>
          <w:rFonts w:ascii="Times New Roman" w:hAnsi="Times New Roman" w:cs="Times New Roman"/>
          <w:color w:val="403152" w:themeColor="accent4" w:themeShade="80"/>
          <w:sz w:val="24"/>
          <w:szCs w:val="24"/>
        </w:rPr>
        <w:t xml:space="preserve"> </w:t>
      </w:r>
      <w:r w:rsidRPr="00E27B2A">
        <w:rPr>
          <w:rFonts w:ascii="Times New Roman" w:hAnsi="Times New Roman" w:cs="Times New Roman"/>
          <w:color w:val="403152" w:themeColor="accent4" w:themeShade="80"/>
          <w:sz w:val="24"/>
          <w:szCs w:val="24"/>
        </w:rPr>
        <w:t xml:space="preserve">need not </w:t>
      </w:r>
      <w:r w:rsidR="00BD7D0A" w:rsidRPr="00E27B2A">
        <w:rPr>
          <w:rFonts w:ascii="Times New Roman" w:hAnsi="Times New Roman" w:cs="Times New Roman"/>
          <w:color w:val="403152" w:themeColor="accent4" w:themeShade="80"/>
          <w:sz w:val="24"/>
          <w:szCs w:val="24"/>
        </w:rPr>
        <w:t xml:space="preserve">be signed </w:t>
      </w:r>
      <w:r w:rsidR="00BE428A" w:rsidRPr="00E27B2A">
        <w:rPr>
          <w:rFonts w:ascii="Times New Roman" w:hAnsi="Times New Roman" w:cs="Times New Roman"/>
          <w:color w:val="403152" w:themeColor="accent4" w:themeShade="80"/>
          <w:sz w:val="24"/>
          <w:szCs w:val="24"/>
        </w:rPr>
        <w:t xml:space="preserve">before the </w:t>
      </w:r>
      <w:r w:rsidRPr="00E27B2A">
        <w:rPr>
          <w:rFonts w:ascii="Times New Roman" w:hAnsi="Times New Roman" w:cs="Times New Roman"/>
          <w:color w:val="403152" w:themeColor="accent4" w:themeShade="80"/>
          <w:sz w:val="24"/>
          <w:szCs w:val="24"/>
        </w:rPr>
        <w:t xml:space="preserve">creation of the </w:t>
      </w:r>
      <w:r w:rsidR="00BE428A" w:rsidRPr="00E27B2A">
        <w:rPr>
          <w:rFonts w:ascii="Times New Roman" w:hAnsi="Times New Roman" w:cs="Times New Roman"/>
          <w:color w:val="403152" w:themeColor="accent4" w:themeShade="80"/>
          <w:sz w:val="24"/>
          <w:szCs w:val="24"/>
        </w:rPr>
        <w:t>work</w:t>
      </w:r>
      <w:r w:rsidRPr="00E27B2A">
        <w:rPr>
          <w:rFonts w:ascii="Times New Roman" w:hAnsi="Times New Roman" w:cs="Times New Roman"/>
          <w:color w:val="403152" w:themeColor="accent4" w:themeShade="80"/>
          <w:sz w:val="24"/>
          <w:szCs w:val="24"/>
        </w:rPr>
        <w:t xml:space="preserve"> to </w:t>
      </w:r>
      <w:r w:rsidR="00256215" w:rsidRPr="00E27B2A">
        <w:rPr>
          <w:rFonts w:ascii="Times New Roman" w:hAnsi="Times New Roman" w:cs="Times New Roman"/>
          <w:color w:val="403152" w:themeColor="accent4" w:themeShade="80"/>
          <w:sz w:val="24"/>
          <w:szCs w:val="24"/>
        </w:rPr>
        <w:t>realize</w:t>
      </w:r>
      <w:r w:rsidRPr="00E27B2A">
        <w:rPr>
          <w:rFonts w:ascii="Times New Roman" w:hAnsi="Times New Roman" w:cs="Times New Roman"/>
          <w:color w:val="403152" w:themeColor="accent4" w:themeShade="80"/>
          <w:sz w:val="24"/>
          <w:szCs w:val="24"/>
        </w:rPr>
        <w:t xml:space="preserve"> Congress’s purpose </w:t>
      </w:r>
      <w:r w:rsidR="00E37218" w:rsidRPr="00E27B2A">
        <w:rPr>
          <w:rFonts w:ascii="Times New Roman" w:hAnsi="Times New Roman" w:cs="Times New Roman"/>
          <w:color w:val="403152" w:themeColor="accent4" w:themeShade="80"/>
          <w:sz w:val="24"/>
          <w:szCs w:val="24"/>
        </w:rPr>
        <w:t xml:space="preserve">of </w:t>
      </w:r>
      <w:r w:rsidR="000D0C5D" w:rsidRPr="00E27B2A">
        <w:rPr>
          <w:rFonts w:ascii="Times New Roman" w:hAnsi="Times New Roman" w:cs="Times New Roman"/>
          <w:color w:val="403152" w:themeColor="accent4" w:themeShade="80"/>
          <w:sz w:val="24"/>
          <w:szCs w:val="24"/>
        </w:rPr>
        <w:t>stability</w:t>
      </w:r>
      <w:r w:rsidR="00E37218" w:rsidRPr="00E27B2A">
        <w:rPr>
          <w:rFonts w:ascii="Times New Roman" w:hAnsi="Times New Roman" w:cs="Times New Roman"/>
          <w:color w:val="403152" w:themeColor="accent4" w:themeShade="80"/>
          <w:sz w:val="24"/>
          <w:szCs w:val="24"/>
        </w:rPr>
        <w:t xml:space="preserve"> and </w:t>
      </w:r>
      <w:r w:rsidR="000D0C5D" w:rsidRPr="00E27B2A">
        <w:rPr>
          <w:rFonts w:ascii="Times New Roman" w:hAnsi="Times New Roman" w:cs="Times New Roman"/>
          <w:color w:val="403152" w:themeColor="accent4" w:themeShade="80"/>
          <w:sz w:val="24"/>
          <w:szCs w:val="24"/>
        </w:rPr>
        <w:t>uniformity</w:t>
      </w:r>
      <w:r w:rsidR="00E37218" w:rsidRPr="00E27B2A">
        <w:rPr>
          <w:rFonts w:ascii="Times New Roman" w:hAnsi="Times New Roman" w:cs="Times New Roman"/>
          <w:color w:val="403152" w:themeColor="accent4" w:themeShade="80"/>
          <w:sz w:val="24"/>
          <w:szCs w:val="24"/>
        </w:rPr>
        <w:t>. I</w:t>
      </w:r>
      <w:r w:rsidR="00256215" w:rsidRPr="00E27B2A">
        <w:rPr>
          <w:rFonts w:ascii="Times New Roman" w:hAnsi="Times New Roman" w:cs="Times New Roman"/>
          <w:color w:val="403152" w:themeColor="accent4" w:themeShade="80"/>
          <w:sz w:val="24"/>
          <w:szCs w:val="24"/>
        </w:rPr>
        <w:t xml:space="preserve">n fact, </w:t>
      </w:r>
      <w:r w:rsidRPr="00E27B2A">
        <w:rPr>
          <w:rFonts w:ascii="Times New Roman" w:hAnsi="Times New Roman" w:cs="Times New Roman"/>
          <w:color w:val="403152" w:themeColor="accent4" w:themeShade="80"/>
          <w:sz w:val="24"/>
          <w:szCs w:val="24"/>
        </w:rPr>
        <w:t>the fl</w:t>
      </w:r>
      <w:r w:rsidR="00256215" w:rsidRPr="00E27B2A">
        <w:rPr>
          <w:rFonts w:ascii="Times New Roman" w:hAnsi="Times New Roman" w:cs="Times New Roman"/>
          <w:color w:val="403152" w:themeColor="accent4" w:themeShade="80"/>
          <w:sz w:val="24"/>
          <w:szCs w:val="24"/>
        </w:rPr>
        <w:t xml:space="preserve">exibility of being able to look to the parties’ actual understanding of the agreement, rather than merely the formalities of the contract, serves to retain predictability and certainty more so than if the court were to </w:t>
      </w:r>
      <w:r w:rsidR="00E37218" w:rsidRPr="00E27B2A">
        <w:rPr>
          <w:rFonts w:ascii="Times New Roman" w:hAnsi="Times New Roman" w:cs="Times New Roman"/>
          <w:color w:val="403152" w:themeColor="accent4" w:themeShade="80"/>
          <w:sz w:val="24"/>
          <w:szCs w:val="24"/>
        </w:rPr>
        <w:t>judicially impose an outcome which</w:t>
      </w:r>
      <w:r w:rsidR="00256215" w:rsidRPr="00E27B2A">
        <w:rPr>
          <w:rFonts w:ascii="Times New Roman" w:hAnsi="Times New Roman" w:cs="Times New Roman"/>
          <w:color w:val="403152" w:themeColor="accent4" w:themeShade="80"/>
          <w:sz w:val="24"/>
          <w:szCs w:val="24"/>
        </w:rPr>
        <w:t xml:space="preserve"> </w:t>
      </w:r>
      <w:r w:rsidR="00E37218" w:rsidRPr="00E27B2A">
        <w:rPr>
          <w:rFonts w:ascii="Times New Roman" w:hAnsi="Times New Roman" w:cs="Times New Roman"/>
          <w:color w:val="403152" w:themeColor="accent4" w:themeShade="80"/>
          <w:sz w:val="24"/>
          <w:szCs w:val="24"/>
        </w:rPr>
        <w:t xml:space="preserve">neither of </w:t>
      </w:r>
      <w:r w:rsidR="00256215" w:rsidRPr="00E27B2A">
        <w:rPr>
          <w:rFonts w:ascii="Times New Roman" w:hAnsi="Times New Roman" w:cs="Times New Roman"/>
          <w:color w:val="403152" w:themeColor="accent4" w:themeShade="80"/>
          <w:sz w:val="24"/>
          <w:szCs w:val="24"/>
        </w:rPr>
        <w:t>the parties were expecting</w:t>
      </w:r>
      <w:r w:rsidR="00E37218" w:rsidRPr="00E27B2A">
        <w:rPr>
          <w:rFonts w:ascii="Times New Roman" w:hAnsi="Times New Roman" w:cs="Times New Roman"/>
          <w:color w:val="403152" w:themeColor="accent4" w:themeShade="80"/>
          <w:sz w:val="24"/>
          <w:szCs w:val="24"/>
        </w:rPr>
        <w:t xml:space="preserve"> or which was outside of the parties’ normal course of dealings.</w:t>
      </w:r>
      <w:r w:rsidR="00566905" w:rsidRPr="00E27B2A">
        <w:rPr>
          <w:rFonts w:ascii="Times New Roman" w:hAnsi="Times New Roman" w:cs="Times New Roman"/>
          <w:color w:val="403152" w:themeColor="accent4" w:themeShade="80"/>
          <w:sz w:val="24"/>
          <w:szCs w:val="24"/>
        </w:rPr>
        <w:t xml:space="preserve"> This also aids certainty for any other third parties that may have relied on oral agreements between the original creator and the commissioning party.</w:t>
      </w:r>
    </w:p>
    <w:p w14:paraId="5EC1CB14" w14:textId="77777777" w:rsidR="00281E13" w:rsidRPr="0017565D" w:rsidRDefault="00281E13" w:rsidP="00596F35">
      <w:pPr>
        <w:spacing w:line="480" w:lineRule="auto"/>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ab/>
      </w:r>
      <w:r w:rsidR="000D0C5D" w:rsidRPr="00E519DB">
        <w:rPr>
          <w:rFonts w:ascii="Times New Roman" w:hAnsi="Times New Roman" w:cs="Times New Roman"/>
          <w:color w:val="403152" w:themeColor="accent4" w:themeShade="80"/>
          <w:sz w:val="24"/>
          <w:szCs w:val="24"/>
        </w:rPr>
        <w:t>In addition to Congress’</w:t>
      </w:r>
      <w:r w:rsidR="009F2390" w:rsidRPr="00E519DB">
        <w:rPr>
          <w:rFonts w:ascii="Times New Roman" w:hAnsi="Times New Roman" w:cs="Times New Roman"/>
          <w:color w:val="403152" w:themeColor="accent4" w:themeShade="80"/>
          <w:sz w:val="24"/>
          <w:szCs w:val="24"/>
        </w:rPr>
        <w:t>s general purposes</w:t>
      </w:r>
      <w:r w:rsidR="000D0C5D" w:rsidRPr="00E519DB">
        <w:rPr>
          <w:rFonts w:ascii="Times New Roman" w:hAnsi="Times New Roman" w:cs="Times New Roman"/>
          <w:color w:val="403152" w:themeColor="accent4" w:themeShade="80"/>
          <w:sz w:val="24"/>
          <w:szCs w:val="24"/>
        </w:rPr>
        <w:t xml:space="preserve"> in revising the </w:t>
      </w:r>
      <w:r w:rsidR="00D4002B" w:rsidRPr="00E519DB">
        <w:rPr>
          <w:rFonts w:ascii="Times New Roman" w:hAnsi="Times New Roman" w:cs="Times New Roman"/>
          <w:color w:val="403152" w:themeColor="accent4" w:themeShade="80"/>
          <w:sz w:val="24"/>
          <w:szCs w:val="24"/>
        </w:rPr>
        <w:t xml:space="preserve">1976 </w:t>
      </w:r>
      <w:r w:rsidR="000547BB">
        <w:rPr>
          <w:rFonts w:ascii="Times New Roman" w:hAnsi="Times New Roman" w:cs="Times New Roman"/>
          <w:color w:val="403152" w:themeColor="accent4" w:themeShade="80"/>
          <w:sz w:val="24"/>
          <w:szCs w:val="24"/>
        </w:rPr>
        <w:t xml:space="preserve">Copyright </w:t>
      </w:r>
      <w:r w:rsidR="000D0C5D" w:rsidRPr="00E519DB">
        <w:rPr>
          <w:rFonts w:ascii="Times New Roman" w:hAnsi="Times New Roman" w:cs="Times New Roman"/>
          <w:color w:val="403152" w:themeColor="accent4" w:themeShade="80"/>
          <w:sz w:val="24"/>
          <w:szCs w:val="24"/>
        </w:rPr>
        <w:t xml:space="preserve">Act </w:t>
      </w:r>
      <w:r w:rsidR="00D4002B" w:rsidRPr="00E519DB">
        <w:rPr>
          <w:rFonts w:ascii="Times New Roman" w:hAnsi="Times New Roman" w:cs="Times New Roman"/>
          <w:color w:val="403152" w:themeColor="accent4" w:themeShade="80"/>
          <w:sz w:val="24"/>
          <w:szCs w:val="24"/>
        </w:rPr>
        <w:t xml:space="preserve">lending </w:t>
      </w:r>
      <w:r w:rsidR="000D0C5D" w:rsidRPr="00E519DB">
        <w:rPr>
          <w:rFonts w:ascii="Times New Roman" w:hAnsi="Times New Roman" w:cs="Times New Roman"/>
          <w:color w:val="403152" w:themeColor="accent4" w:themeShade="80"/>
          <w:sz w:val="24"/>
          <w:szCs w:val="24"/>
        </w:rPr>
        <w:t xml:space="preserve">support </w:t>
      </w:r>
      <w:r w:rsidR="00D4002B" w:rsidRPr="00E519DB">
        <w:rPr>
          <w:rFonts w:ascii="Times New Roman" w:hAnsi="Times New Roman" w:cs="Times New Roman"/>
          <w:color w:val="403152" w:themeColor="accent4" w:themeShade="80"/>
          <w:sz w:val="24"/>
          <w:szCs w:val="24"/>
        </w:rPr>
        <w:t xml:space="preserve">to </w:t>
      </w:r>
      <w:r w:rsidR="000D0C5D" w:rsidRPr="00E519DB">
        <w:rPr>
          <w:rFonts w:ascii="Times New Roman" w:hAnsi="Times New Roman" w:cs="Times New Roman"/>
          <w:color w:val="403152" w:themeColor="accent4" w:themeShade="80"/>
          <w:sz w:val="24"/>
          <w:szCs w:val="24"/>
        </w:rPr>
        <w:t xml:space="preserve">the sufficiency of a post-creation execution of a signed writing confirming a </w:t>
      </w:r>
      <w:r w:rsidR="009F2390" w:rsidRPr="00E519DB">
        <w:rPr>
          <w:rFonts w:ascii="Times New Roman" w:hAnsi="Times New Roman" w:cs="Times New Roman"/>
          <w:color w:val="403152" w:themeColor="accent4" w:themeShade="80"/>
          <w:sz w:val="24"/>
          <w:szCs w:val="24"/>
        </w:rPr>
        <w:t xml:space="preserve">prior agreement that the arrangement would be for a </w:t>
      </w:r>
      <w:r w:rsidR="00F65A9E" w:rsidRPr="00E519DB">
        <w:rPr>
          <w:rFonts w:ascii="Times New Roman" w:hAnsi="Times New Roman" w:cs="Times New Roman"/>
          <w:color w:val="403152" w:themeColor="accent4" w:themeShade="80"/>
          <w:sz w:val="24"/>
          <w:szCs w:val="24"/>
        </w:rPr>
        <w:t xml:space="preserve">work made for </w:t>
      </w:r>
      <w:r w:rsidR="009F2390" w:rsidRPr="00E519DB">
        <w:rPr>
          <w:rFonts w:ascii="Times New Roman" w:hAnsi="Times New Roman" w:cs="Times New Roman"/>
          <w:color w:val="403152" w:themeColor="accent4" w:themeShade="80"/>
          <w:sz w:val="24"/>
          <w:szCs w:val="24"/>
        </w:rPr>
        <w:t>hire, there is more specific legislative history that speaks to the particular</w:t>
      </w:r>
      <w:r w:rsidR="000D0C5D" w:rsidRPr="00E519DB">
        <w:rPr>
          <w:rFonts w:ascii="Times New Roman" w:hAnsi="Times New Roman" w:cs="Times New Roman"/>
          <w:color w:val="403152" w:themeColor="accent4" w:themeShade="80"/>
          <w:sz w:val="24"/>
          <w:szCs w:val="24"/>
        </w:rPr>
        <w:t xml:space="preserve"> </w:t>
      </w:r>
      <w:r w:rsidR="009F2390" w:rsidRPr="00E519DB">
        <w:rPr>
          <w:rFonts w:ascii="Times New Roman" w:hAnsi="Times New Roman" w:cs="Times New Roman"/>
          <w:color w:val="403152" w:themeColor="accent4" w:themeShade="80"/>
          <w:sz w:val="24"/>
          <w:szCs w:val="24"/>
        </w:rPr>
        <w:t xml:space="preserve">issue in question. </w:t>
      </w:r>
      <w:r w:rsidR="006709DB" w:rsidRPr="00E519DB">
        <w:rPr>
          <w:rFonts w:ascii="Times New Roman" w:hAnsi="Times New Roman" w:cs="Times New Roman"/>
          <w:color w:val="403152" w:themeColor="accent4" w:themeShade="80"/>
          <w:sz w:val="24"/>
          <w:szCs w:val="24"/>
        </w:rPr>
        <w:t>If Congress fails to overturn a judicial statutory interpretation, this indicates that Congress is likely consenting</w:t>
      </w:r>
      <w:r w:rsidR="008A0228" w:rsidRPr="00E519DB">
        <w:rPr>
          <w:rFonts w:ascii="Times New Roman" w:hAnsi="Times New Roman" w:cs="Times New Roman"/>
          <w:color w:val="403152" w:themeColor="accent4" w:themeShade="80"/>
          <w:sz w:val="24"/>
          <w:szCs w:val="24"/>
        </w:rPr>
        <w:t xml:space="preserve"> to the particular construction</w:t>
      </w:r>
      <w:r w:rsidR="006709DB" w:rsidRPr="00E519DB">
        <w:rPr>
          <w:rFonts w:ascii="Times New Roman" w:hAnsi="Times New Roman" w:cs="Times New Roman"/>
          <w:color w:val="403152" w:themeColor="accent4" w:themeShade="80"/>
          <w:sz w:val="24"/>
          <w:szCs w:val="24"/>
        </w:rPr>
        <w:t xml:space="preserve">. </w:t>
      </w:r>
      <w:bookmarkStart w:id="35" w:name="CITRUS_BOOKMARK1000000039"/>
      <w:r w:rsidR="00D535DF" w:rsidRPr="0055279B">
        <w:rPr>
          <w:rFonts w:ascii="Times New Roman" w:hAnsi="Times New Roman" w:cs="Times New Roman"/>
          <w:i/>
          <w:color w:val="403152" w:themeColor="accent4" w:themeShade="80"/>
          <w:sz w:val="24"/>
          <w:szCs w:val="24"/>
        </w:rPr>
        <w:t>Monessen S</w:t>
      </w:r>
      <w:r w:rsidR="008C2D10" w:rsidRPr="0055279B">
        <w:rPr>
          <w:rFonts w:ascii="Times New Roman" w:hAnsi="Times New Roman" w:cs="Times New Roman"/>
          <w:i/>
          <w:color w:val="403152" w:themeColor="accent4" w:themeShade="80"/>
          <w:sz w:val="24"/>
          <w:szCs w:val="24"/>
        </w:rPr>
        <w:t>w.</w:t>
      </w:r>
      <w:r w:rsidR="00D4002B" w:rsidRPr="0055279B">
        <w:rPr>
          <w:rFonts w:ascii="Times New Roman" w:hAnsi="Times New Roman" w:cs="Times New Roman"/>
          <w:i/>
          <w:color w:val="403152" w:themeColor="accent4" w:themeShade="80"/>
          <w:sz w:val="24"/>
          <w:szCs w:val="24"/>
        </w:rPr>
        <w:t xml:space="preserve"> Ry. v. Morgan,</w:t>
      </w:r>
      <w:r w:rsidR="008C2D10" w:rsidRPr="0055279B">
        <w:rPr>
          <w:rFonts w:ascii="Times New Roman" w:hAnsi="Times New Roman" w:cs="Times New Roman"/>
          <w:i/>
          <w:color w:val="403152" w:themeColor="accent4" w:themeShade="80"/>
          <w:sz w:val="24"/>
          <w:szCs w:val="24"/>
        </w:rPr>
        <w:t xml:space="preserve"> </w:t>
      </w:r>
      <w:r w:rsidR="002912A0" w:rsidRPr="0055279B">
        <w:rPr>
          <w:rFonts w:ascii="Times New Roman" w:hAnsi="Times New Roman" w:cs="Times New Roman"/>
          <w:color w:val="403152" w:themeColor="accent4" w:themeShade="80"/>
          <w:sz w:val="24"/>
          <w:szCs w:val="24"/>
        </w:rPr>
        <w:t>486 U.S. 330, 338-39</w:t>
      </w:r>
      <w:r w:rsidR="00A77C8F" w:rsidRPr="0055279B">
        <w:rPr>
          <w:rFonts w:ascii="Times New Roman" w:hAnsi="Times New Roman" w:cs="Times New Roman"/>
          <w:color w:val="403152" w:themeColor="accent4" w:themeShade="80"/>
          <w:sz w:val="24"/>
          <w:szCs w:val="24"/>
        </w:rPr>
        <w:t xml:space="preserve"> </w:t>
      </w:r>
      <w:r w:rsidR="00D4002B" w:rsidRPr="0055279B">
        <w:rPr>
          <w:rFonts w:ascii="Times New Roman" w:hAnsi="Times New Roman" w:cs="Times New Roman"/>
          <w:color w:val="403152" w:themeColor="accent4" w:themeShade="80"/>
          <w:sz w:val="24"/>
          <w:szCs w:val="24"/>
        </w:rPr>
        <w:t>(1988)</w:t>
      </w:r>
      <w:bookmarkEnd w:id="35"/>
      <w:r w:rsidR="00D4002B" w:rsidRPr="00E519DB">
        <w:rPr>
          <w:rFonts w:ascii="Times New Roman" w:hAnsi="Times New Roman" w:cs="Times New Roman"/>
          <w:color w:val="403152" w:themeColor="accent4" w:themeShade="80"/>
          <w:sz w:val="24"/>
          <w:szCs w:val="24"/>
        </w:rPr>
        <w:t>. Here, o</w:t>
      </w:r>
      <w:r w:rsidR="009F2390" w:rsidRPr="00E519DB">
        <w:rPr>
          <w:rFonts w:ascii="Times New Roman" w:hAnsi="Times New Roman" w:cs="Times New Roman"/>
          <w:color w:val="403152" w:themeColor="accent4" w:themeShade="80"/>
          <w:sz w:val="24"/>
          <w:szCs w:val="24"/>
        </w:rPr>
        <w:t xml:space="preserve">n several occasions following the enactment of the </w:t>
      </w:r>
      <w:r w:rsidR="000547BB">
        <w:rPr>
          <w:rFonts w:ascii="Times New Roman" w:hAnsi="Times New Roman" w:cs="Times New Roman"/>
          <w:color w:val="403152" w:themeColor="accent4" w:themeShade="80"/>
          <w:sz w:val="24"/>
          <w:szCs w:val="24"/>
        </w:rPr>
        <w:t xml:space="preserve">Copyright </w:t>
      </w:r>
      <w:r w:rsidR="009F2390" w:rsidRPr="00E519DB">
        <w:rPr>
          <w:rFonts w:ascii="Times New Roman" w:hAnsi="Times New Roman" w:cs="Times New Roman"/>
          <w:color w:val="403152" w:themeColor="accent4" w:themeShade="80"/>
          <w:sz w:val="24"/>
          <w:szCs w:val="24"/>
        </w:rPr>
        <w:t>Act</w:t>
      </w:r>
      <w:r w:rsidR="00D4002B" w:rsidRPr="00E519DB">
        <w:rPr>
          <w:rFonts w:ascii="Times New Roman" w:hAnsi="Times New Roman" w:cs="Times New Roman"/>
          <w:color w:val="403152" w:themeColor="accent4" w:themeShade="80"/>
          <w:sz w:val="24"/>
          <w:szCs w:val="24"/>
        </w:rPr>
        <w:t xml:space="preserve"> in 1976</w:t>
      </w:r>
      <w:r w:rsidR="009F2390" w:rsidRPr="00E519DB">
        <w:rPr>
          <w:rFonts w:ascii="Times New Roman" w:hAnsi="Times New Roman" w:cs="Times New Roman"/>
          <w:color w:val="403152" w:themeColor="accent4" w:themeShade="80"/>
          <w:sz w:val="24"/>
          <w:szCs w:val="24"/>
        </w:rPr>
        <w:t xml:space="preserve">, Senator </w:t>
      </w:r>
      <w:r w:rsidR="00D87C58">
        <w:rPr>
          <w:rFonts w:ascii="Times New Roman" w:hAnsi="Times New Roman" w:cs="Times New Roman"/>
          <w:color w:val="403152" w:themeColor="accent4" w:themeShade="80"/>
          <w:sz w:val="24"/>
          <w:szCs w:val="24"/>
        </w:rPr>
        <w:t xml:space="preserve">Thad </w:t>
      </w:r>
      <w:r w:rsidR="009F2390" w:rsidRPr="00E519DB">
        <w:rPr>
          <w:rFonts w:ascii="Times New Roman" w:hAnsi="Times New Roman" w:cs="Times New Roman"/>
          <w:color w:val="403152" w:themeColor="accent4" w:themeShade="80"/>
          <w:sz w:val="24"/>
          <w:szCs w:val="24"/>
        </w:rPr>
        <w:t xml:space="preserve">Cochran </w:t>
      </w:r>
      <w:r w:rsidR="00571BAF" w:rsidRPr="00E519DB">
        <w:rPr>
          <w:rFonts w:ascii="Times New Roman" w:hAnsi="Times New Roman" w:cs="Times New Roman"/>
          <w:color w:val="403152" w:themeColor="accent4" w:themeShade="80"/>
          <w:sz w:val="24"/>
          <w:szCs w:val="24"/>
        </w:rPr>
        <w:t>unsuccessfully</w:t>
      </w:r>
      <w:r w:rsidR="009F2390" w:rsidRPr="00E519DB">
        <w:rPr>
          <w:rFonts w:ascii="Times New Roman" w:hAnsi="Times New Roman" w:cs="Times New Roman"/>
          <w:color w:val="403152" w:themeColor="accent4" w:themeShade="80"/>
          <w:sz w:val="24"/>
          <w:szCs w:val="24"/>
        </w:rPr>
        <w:t xml:space="preserve"> attempted to introduce amending legislation that would </w:t>
      </w:r>
      <w:r w:rsidR="00D4002B" w:rsidRPr="00E519DB">
        <w:rPr>
          <w:rFonts w:ascii="Times New Roman" w:hAnsi="Times New Roman" w:cs="Times New Roman"/>
          <w:color w:val="403152" w:themeColor="accent4" w:themeShade="80"/>
          <w:sz w:val="24"/>
          <w:szCs w:val="24"/>
        </w:rPr>
        <w:t xml:space="preserve">explicitly </w:t>
      </w:r>
      <w:r w:rsidR="009F2390" w:rsidRPr="00E519DB">
        <w:rPr>
          <w:rFonts w:ascii="Times New Roman" w:hAnsi="Times New Roman" w:cs="Times New Roman"/>
          <w:color w:val="403152" w:themeColor="accent4" w:themeShade="80"/>
          <w:sz w:val="24"/>
          <w:szCs w:val="24"/>
        </w:rPr>
        <w:t xml:space="preserve">require </w:t>
      </w:r>
      <w:r w:rsidR="008A0228" w:rsidRPr="00E519DB">
        <w:rPr>
          <w:rFonts w:ascii="Times New Roman" w:hAnsi="Times New Roman" w:cs="Times New Roman"/>
          <w:color w:val="403152" w:themeColor="accent4" w:themeShade="80"/>
          <w:sz w:val="24"/>
          <w:szCs w:val="24"/>
        </w:rPr>
        <w:t xml:space="preserve">a </w:t>
      </w:r>
      <w:r w:rsidR="009F2390" w:rsidRPr="00E519DB">
        <w:rPr>
          <w:rFonts w:ascii="Times New Roman" w:hAnsi="Times New Roman" w:cs="Times New Roman"/>
          <w:color w:val="403152" w:themeColor="accent4" w:themeShade="80"/>
          <w:sz w:val="24"/>
          <w:szCs w:val="24"/>
        </w:rPr>
        <w:t xml:space="preserve">signed </w:t>
      </w:r>
      <w:r w:rsidR="008A0228" w:rsidRPr="00E519DB">
        <w:rPr>
          <w:rFonts w:ascii="Times New Roman" w:hAnsi="Times New Roman" w:cs="Times New Roman"/>
          <w:color w:val="403152" w:themeColor="accent4" w:themeShade="80"/>
          <w:sz w:val="24"/>
          <w:szCs w:val="24"/>
        </w:rPr>
        <w:t>written agreement</w:t>
      </w:r>
      <w:r w:rsidR="009F2390" w:rsidRPr="00E519DB">
        <w:rPr>
          <w:rFonts w:ascii="Times New Roman" w:hAnsi="Times New Roman" w:cs="Times New Roman"/>
          <w:color w:val="403152" w:themeColor="accent4" w:themeShade="80"/>
          <w:sz w:val="24"/>
          <w:szCs w:val="24"/>
        </w:rPr>
        <w:t xml:space="preserve"> to precede the commencement</w:t>
      </w:r>
      <w:r w:rsidR="00F65A9E" w:rsidRPr="00E519DB">
        <w:rPr>
          <w:rFonts w:ascii="Times New Roman" w:hAnsi="Times New Roman" w:cs="Times New Roman"/>
          <w:color w:val="403152" w:themeColor="accent4" w:themeShade="80"/>
          <w:sz w:val="24"/>
          <w:szCs w:val="24"/>
        </w:rPr>
        <w:t xml:space="preserve"> of a work made for </w:t>
      </w:r>
      <w:r w:rsidR="009F2390" w:rsidRPr="00E519DB">
        <w:rPr>
          <w:rFonts w:ascii="Times New Roman" w:hAnsi="Times New Roman" w:cs="Times New Roman"/>
          <w:color w:val="403152" w:themeColor="accent4" w:themeShade="80"/>
          <w:sz w:val="24"/>
          <w:szCs w:val="24"/>
        </w:rPr>
        <w:t>hire. Each time</w:t>
      </w:r>
      <w:r w:rsidR="00151335">
        <w:rPr>
          <w:rFonts w:ascii="Times New Roman" w:hAnsi="Times New Roman" w:cs="Times New Roman"/>
          <w:color w:val="403152" w:themeColor="accent4" w:themeShade="80"/>
          <w:sz w:val="24"/>
          <w:szCs w:val="24"/>
        </w:rPr>
        <w:t xml:space="preserve"> the </w:t>
      </w:r>
      <w:r w:rsidR="008A0228" w:rsidRPr="00E519DB">
        <w:rPr>
          <w:rFonts w:ascii="Times New Roman" w:hAnsi="Times New Roman" w:cs="Times New Roman"/>
          <w:color w:val="403152" w:themeColor="accent4" w:themeShade="80"/>
          <w:sz w:val="24"/>
          <w:szCs w:val="24"/>
        </w:rPr>
        <w:t>amendment was propo</w:t>
      </w:r>
      <w:r w:rsidR="008A0228" w:rsidRPr="0017565D">
        <w:rPr>
          <w:rFonts w:ascii="Times New Roman" w:hAnsi="Times New Roman" w:cs="Times New Roman"/>
          <w:color w:val="403152" w:themeColor="accent4" w:themeShade="80"/>
          <w:sz w:val="24"/>
          <w:szCs w:val="24"/>
        </w:rPr>
        <w:t>sed</w:t>
      </w:r>
      <w:r w:rsidR="009F2390" w:rsidRPr="0017565D">
        <w:rPr>
          <w:rFonts w:ascii="Times New Roman" w:hAnsi="Times New Roman" w:cs="Times New Roman"/>
          <w:color w:val="403152" w:themeColor="accent4" w:themeShade="80"/>
          <w:sz w:val="24"/>
          <w:szCs w:val="24"/>
        </w:rPr>
        <w:t xml:space="preserve">, </w:t>
      </w:r>
      <w:r w:rsidR="009F2390" w:rsidRPr="00427A13">
        <w:rPr>
          <w:rFonts w:ascii="Times New Roman" w:hAnsi="Times New Roman" w:cs="Times New Roman"/>
          <w:color w:val="403152" w:themeColor="accent4" w:themeShade="80"/>
          <w:sz w:val="24"/>
          <w:szCs w:val="24"/>
        </w:rPr>
        <w:t xml:space="preserve">Congress </w:t>
      </w:r>
      <w:r w:rsidR="00571BAF" w:rsidRPr="00427A13">
        <w:rPr>
          <w:rFonts w:ascii="Times New Roman" w:hAnsi="Times New Roman" w:cs="Times New Roman"/>
          <w:color w:val="403152" w:themeColor="accent4" w:themeShade="80"/>
          <w:sz w:val="24"/>
          <w:szCs w:val="24"/>
        </w:rPr>
        <w:t>rejected</w:t>
      </w:r>
      <w:r w:rsidR="009F2390" w:rsidRPr="00427A13">
        <w:rPr>
          <w:rFonts w:ascii="Times New Roman" w:hAnsi="Times New Roman" w:cs="Times New Roman"/>
          <w:color w:val="403152" w:themeColor="accent4" w:themeShade="80"/>
          <w:sz w:val="24"/>
          <w:szCs w:val="24"/>
        </w:rPr>
        <w:t xml:space="preserve"> </w:t>
      </w:r>
      <w:r w:rsidR="008A0228" w:rsidRPr="00427A13">
        <w:rPr>
          <w:rFonts w:ascii="Times New Roman" w:hAnsi="Times New Roman" w:cs="Times New Roman"/>
          <w:color w:val="403152" w:themeColor="accent4" w:themeShade="80"/>
          <w:sz w:val="24"/>
          <w:szCs w:val="24"/>
        </w:rPr>
        <w:t>it</w:t>
      </w:r>
      <w:r w:rsidR="009F2390" w:rsidRPr="00427A13">
        <w:rPr>
          <w:rFonts w:ascii="Times New Roman" w:hAnsi="Times New Roman" w:cs="Times New Roman"/>
          <w:color w:val="403152" w:themeColor="accent4" w:themeShade="80"/>
          <w:sz w:val="24"/>
          <w:szCs w:val="24"/>
        </w:rPr>
        <w:t>.</w:t>
      </w:r>
      <w:r w:rsidR="00427A13" w:rsidRPr="00427A13">
        <w:rPr>
          <w:rFonts w:ascii="Times New Roman" w:hAnsi="Times New Roman" w:cs="Times New Roman"/>
          <w:color w:val="403152" w:themeColor="accent4" w:themeShade="80"/>
          <w:sz w:val="24"/>
          <w:szCs w:val="24"/>
        </w:rPr>
        <w:t xml:space="preserve"> </w:t>
      </w:r>
      <w:r w:rsidR="00427A13" w:rsidRPr="00427A13">
        <w:rPr>
          <w:rFonts w:ascii="Times New Roman" w:hAnsi="Times New Roman" w:cs="Times New Roman"/>
          <w:i/>
          <w:color w:val="403152" w:themeColor="accent4" w:themeShade="80"/>
          <w:sz w:val="24"/>
          <w:szCs w:val="24"/>
        </w:rPr>
        <w:t>See</w:t>
      </w:r>
      <w:r w:rsidR="00427A13" w:rsidRPr="00427A13">
        <w:rPr>
          <w:rFonts w:ascii="Times New Roman" w:hAnsi="Times New Roman" w:cs="Times New Roman"/>
          <w:color w:val="403152" w:themeColor="accent4" w:themeShade="80"/>
          <w:sz w:val="24"/>
          <w:szCs w:val="24"/>
        </w:rPr>
        <w:t xml:space="preserve"> S. Rep. No. 2044, 97th Cong., 2d Sess. (1982);</w:t>
      </w:r>
      <w:r w:rsidR="009F2390" w:rsidRPr="00427A13">
        <w:rPr>
          <w:rFonts w:ascii="Times New Roman" w:hAnsi="Times New Roman" w:cs="Times New Roman"/>
          <w:color w:val="403152" w:themeColor="accent4" w:themeShade="80"/>
          <w:sz w:val="24"/>
          <w:szCs w:val="24"/>
        </w:rPr>
        <w:t xml:space="preserve"> S.</w:t>
      </w:r>
      <w:r w:rsidR="00427A13" w:rsidRPr="00427A13">
        <w:rPr>
          <w:rFonts w:ascii="Times New Roman" w:hAnsi="Times New Roman" w:cs="Times New Roman"/>
          <w:color w:val="403152" w:themeColor="accent4" w:themeShade="80"/>
          <w:sz w:val="24"/>
          <w:szCs w:val="24"/>
        </w:rPr>
        <w:t xml:space="preserve"> Rep. No.</w:t>
      </w:r>
      <w:r w:rsidR="009F2390" w:rsidRPr="00427A13">
        <w:rPr>
          <w:rFonts w:ascii="Times New Roman" w:hAnsi="Times New Roman" w:cs="Times New Roman"/>
          <w:color w:val="403152" w:themeColor="accent4" w:themeShade="80"/>
          <w:sz w:val="24"/>
          <w:szCs w:val="24"/>
        </w:rPr>
        <w:t xml:space="preserve"> 2138, 98th Cong., 1st Sess. (1983); S.</w:t>
      </w:r>
      <w:r w:rsidR="00427A13" w:rsidRPr="00427A13">
        <w:rPr>
          <w:rFonts w:ascii="Times New Roman" w:hAnsi="Times New Roman" w:cs="Times New Roman"/>
          <w:color w:val="403152" w:themeColor="accent4" w:themeShade="80"/>
          <w:sz w:val="24"/>
          <w:szCs w:val="24"/>
        </w:rPr>
        <w:t xml:space="preserve"> Rep. No.</w:t>
      </w:r>
      <w:r w:rsidR="009F2390" w:rsidRPr="00427A13">
        <w:rPr>
          <w:rFonts w:ascii="Times New Roman" w:hAnsi="Times New Roman" w:cs="Times New Roman"/>
          <w:color w:val="403152" w:themeColor="accent4" w:themeShade="80"/>
          <w:sz w:val="24"/>
          <w:szCs w:val="24"/>
        </w:rPr>
        <w:t xml:space="preserve"> 2330, 99th Cong., 2d Sess. (1986); S. </w:t>
      </w:r>
      <w:r w:rsidR="00427A13" w:rsidRPr="00427A13">
        <w:rPr>
          <w:rFonts w:ascii="Times New Roman" w:hAnsi="Times New Roman" w:cs="Times New Roman"/>
          <w:color w:val="403152" w:themeColor="accent4" w:themeShade="80"/>
          <w:sz w:val="24"/>
          <w:szCs w:val="24"/>
        </w:rPr>
        <w:t xml:space="preserve">Rep. No. </w:t>
      </w:r>
      <w:r w:rsidR="009F2390" w:rsidRPr="00427A13">
        <w:rPr>
          <w:rFonts w:ascii="Times New Roman" w:hAnsi="Times New Roman" w:cs="Times New Roman"/>
          <w:color w:val="403152" w:themeColor="accent4" w:themeShade="80"/>
          <w:sz w:val="24"/>
          <w:szCs w:val="24"/>
        </w:rPr>
        <w:t>1253, 101st Cong., 1st Sess. (1989).</w:t>
      </w:r>
      <w:r w:rsidR="0017565D" w:rsidRPr="00427A13">
        <w:rPr>
          <w:rFonts w:ascii="Times New Roman" w:hAnsi="Times New Roman" w:cs="Times New Roman"/>
          <w:color w:val="403152" w:themeColor="accent4" w:themeShade="80"/>
          <w:sz w:val="24"/>
          <w:szCs w:val="24"/>
        </w:rPr>
        <w:t xml:space="preserve"> If</w:t>
      </w:r>
      <w:r w:rsidR="0017565D" w:rsidRPr="0017565D">
        <w:rPr>
          <w:rFonts w:ascii="Times New Roman" w:hAnsi="Times New Roman" w:cs="Times New Roman"/>
          <w:color w:val="403152" w:themeColor="accent4" w:themeShade="80"/>
          <w:sz w:val="24"/>
          <w:szCs w:val="24"/>
        </w:rPr>
        <w:t xml:space="preserve"> Congress</w:t>
      </w:r>
      <w:r w:rsidR="0017565D">
        <w:rPr>
          <w:rFonts w:ascii="Times New Roman" w:hAnsi="Times New Roman" w:cs="Times New Roman"/>
          <w:color w:val="403152" w:themeColor="accent4" w:themeShade="80"/>
          <w:sz w:val="24"/>
          <w:szCs w:val="24"/>
        </w:rPr>
        <w:t xml:space="preserve"> had amended the Copyright Act to explicitly require that the signed written agreement precede the commencement of a work </w:t>
      </w:r>
      <w:r w:rsidR="0017565D">
        <w:rPr>
          <w:rFonts w:ascii="Times New Roman" w:hAnsi="Times New Roman" w:cs="Times New Roman"/>
          <w:color w:val="403152" w:themeColor="accent4" w:themeShade="80"/>
          <w:sz w:val="24"/>
          <w:szCs w:val="24"/>
        </w:rPr>
        <w:lastRenderedPageBreak/>
        <w:t xml:space="preserve">made for hire, Lime would clearly own the copyright </w:t>
      </w:r>
      <w:r w:rsidR="0017565D" w:rsidRPr="0017565D">
        <w:rPr>
          <w:rFonts w:ascii="Times New Roman" w:hAnsi="Times New Roman" w:cs="Times New Roman"/>
          <w:color w:val="403152" w:themeColor="accent4" w:themeShade="80"/>
          <w:sz w:val="24"/>
          <w:szCs w:val="24"/>
        </w:rPr>
        <w:t>to “Anticipatory Repudiation.” We are faced with different contextual circumstances, however.</w:t>
      </w:r>
    </w:p>
    <w:p w14:paraId="4B98B1BB" w14:textId="77777777" w:rsidR="00D87C58" w:rsidRDefault="00571BAF" w:rsidP="00176EF1">
      <w:pPr>
        <w:spacing w:line="480" w:lineRule="auto"/>
        <w:contextualSpacing/>
        <w:rPr>
          <w:rFonts w:ascii="Times New Roman" w:hAnsi="Times New Roman" w:cs="Times New Roman"/>
          <w:color w:val="403152" w:themeColor="accent4" w:themeShade="80"/>
          <w:sz w:val="24"/>
          <w:szCs w:val="24"/>
        </w:rPr>
      </w:pPr>
      <w:r w:rsidRPr="0017565D">
        <w:rPr>
          <w:rFonts w:ascii="Times New Roman" w:hAnsi="Times New Roman" w:cs="Times New Roman"/>
          <w:color w:val="403152" w:themeColor="accent4" w:themeShade="80"/>
          <w:sz w:val="24"/>
          <w:szCs w:val="24"/>
        </w:rPr>
        <w:tab/>
        <w:t xml:space="preserve">Legislative history demonstrates that </w:t>
      </w:r>
      <w:r w:rsidR="00D87C58" w:rsidRPr="0017565D">
        <w:rPr>
          <w:rFonts w:ascii="Times New Roman" w:hAnsi="Times New Roman" w:cs="Times New Roman"/>
          <w:color w:val="403152" w:themeColor="accent4" w:themeShade="80"/>
          <w:sz w:val="24"/>
          <w:szCs w:val="24"/>
        </w:rPr>
        <w:t>Congress intended</w:t>
      </w:r>
      <w:r w:rsidRPr="0017565D">
        <w:rPr>
          <w:rFonts w:ascii="Times New Roman" w:hAnsi="Times New Roman" w:cs="Times New Roman"/>
          <w:color w:val="403152" w:themeColor="accent4" w:themeShade="80"/>
          <w:sz w:val="24"/>
          <w:szCs w:val="24"/>
        </w:rPr>
        <w:t xml:space="preserve"> OGS</w:t>
      </w:r>
      <w:r w:rsidR="00D87C58" w:rsidRPr="0017565D">
        <w:rPr>
          <w:rFonts w:ascii="Times New Roman" w:hAnsi="Times New Roman" w:cs="Times New Roman"/>
          <w:color w:val="403152" w:themeColor="accent4" w:themeShade="80"/>
          <w:sz w:val="24"/>
          <w:szCs w:val="24"/>
        </w:rPr>
        <w:t xml:space="preserve"> to own the copyright to</w:t>
      </w:r>
      <w:r w:rsidRPr="0017565D">
        <w:rPr>
          <w:rFonts w:ascii="Times New Roman" w:hAnsi="Times New Roman" w:cs="Times New Roman"/>
          <w:color w:val="403152" w:themeColor="accent4" w:themeShade="80"/>
          <w:sz w:val="24"/>
          <w:szCs w:val="24"/>
        </w:rPr>
        <w:t xml:space="preserve"> “Anticipatory Repudiation</w:t>
      </w:r>
      <w:r w:rsidR="00176EF1" w:rsidRPr="0017565D">
        <w:rPr>
          <w:rFonts w:ascii="Times New Roman" w:hAnsi="Times New Roman" w:cs="Times New Roman"/>
          <w:color w:val="403152" w:themeColor="accent4" w:themeShade="80"/>
          <w:sz w:val="24"/>
          <w:szCs w:val="24"/>
        </w:rPr>
        <w:t xml:space="preserve">.” </w:t>
      </w:r>
      <w:r w:rsidR="00D87C58" w:rsidRPr="0017565D">
        <w:rPr>
          <w:rFonts w:ascii="Times New Roman" w:hAnsi="Times New Roman" w:cs="Times New Roman"/>
          <w:color w:val="403152" w:themeColor="accent4" w:themeShade="80"/>
          <w:sz w:val="24"/>
          <w:szCs w:val="24"/>
        </w:rPr>
        <w:t>OGS’s</w:t>
      </w:r>
      <w:r w:rsidR="00D87C58">
        <w:rPr>
          <w:rFonts w:ascii="Times New Roman" w:hAnsi="Times New Roman" w:cs="Times New Roman"/>
          <w:color w:val="403152" w:themeColor="accent4" w:themeShade="80"/>
          <w:sz w:val="24"/>
          <w:szCs w:val="24"/>
        </w:rPr>
        <w:t xml:space="preserve"> claim of copyright ownership in “Anticipatory Repudiation” is consistent with the </w:t>
      </w:r>
      <w:r w:rsidR="00CA7631">
        <w:rPr>
          <w:rFonts w:ascii="Times New Roman" w:hAnsi="Times New Roman" w:cs="Times New Roman"/>
          <w:color w:val="403152" w:themeColor="accent4" w:themeShade="80"/>
          <w:sz w:val="24"/>
          <w:szCs w:val="24"/>
        </w:rPr>
        <w:t xml:space="preserve">general </w:t>
      </w:r>
      <w:r w:rsidR="00D87C58">
        <w:rPr>
          <w:rFonts w:ascii="Times New Roman" w:hAnsi="Times New Roman" w:cs="Times New Roman"/>
          <w:color w:val="403152" w:themeColor="accent4" w:themeShade="80"/>
          <w:sz w:val="24"/>
          <w:szCs w:val="24"/>
        </w:rPr>
        <w:t xml:space="preserve">legislative </w:t>
      </w:r>
      <w:r w:rsidR="00D87C58" w:rsidRPr="00176EF1">
        <w:rPr>
          <w:rFonts w:ascii="Times New Roman" w:hAnsi="Times New Roman" w:cs="Times New Roman"/>
          <w:color w:val="403152" w:themeColor="accent4" w:themeShade="80"/>
          <w:sz w:val="24"/>
          <w:szCs w:val="24"/>
        </w:rPr>
        <w:t xml:space="preserve">purpose of the Copyright Act to ensure predictability and certainty of copyright ownership. It is also consistent with specific Congressional intent to permit a post-commencement execution of a signed written agreement </w:t>
      </w:r>
      <w:r w:rsidR="00CA7631" w:rsidRPr="00176EF1">
        <w:rPr>
          <w:rFonts w:ascii="Times New Roman" w:hAnsi="Times New Roman" w:cs="Times New Roman"/>
          <w:color w:val="403152" w:themeColor="accent4" w:themeShade="80"/>
          <w:sz w:val="24"/>
          <w:szCs w:val="24"/>
        </w:rPr>
        <w:t>for</w:t>
      </w:r>
      <w:r w:rsidR="00D87C58" w:rsidRPr="00176EF1">
        <w:rPr>
          <w:rFonts w:ascii="Times New Roman" w:hAnsi="Times New Roman" w:cs="Times New Roman"/>
          <w:color w:val="403152" w:themeColor="accent4" w:themeShade="80"/>
          <w:sz w:val="24"/>
          <w:szCs w:val="24"/>
        </w:rPr>
        <w:t xml:space="preserve"> </w:t>
      </w:r>
      <w:r w:rsidR="00240583" w:rsidRPr="00176EF1">
        <w:rPr>
          <w:rFonts w:ascii="Times New Roman" w:hAnsi="Times New Roman" w:cs="Times New Roman"/>
          <w:color w:val="403152" w:themeColor="accent4" w:themeShade="80"/>
          <w:sz w:val="24"/>
          <w:szCs w:val="24"/>
        </w:rPr>
        <w:t>a work</w:t>
      </w:r>
      <w:r w:rsidR="00D87C58" w:rsidRPr="00176EF1">
        <w:rPr>
          <w:rFonts w:ascii="Times New Roman" w:hAnsi="Times New Roman" w:cs="Times New Roman"/>
          <w:color w:val="403152" w:themeColor="accent4" w:themeShade="80"/>
          <w:sz w:val="24"/>
          <w:szCs w:val="24"/>
        </w:rPr>
        <w:t xml:space="preserve"> </w:t>
      </w:r>
      <w:r w:rsidR="00CA7631" w:rsidRPr="00176EF1">
        <w:rPr>
          <w:rFonts w:ascii="Times New Roman" w:hAnsi="Times New Roman" w:cs="Times New Roman"/>
          <w:color w:val="403152" w:themeColor="accent4" w:themeShade="80"/>
          <w:sz w:val="24"/>
          <w:szCs w:val="24"/>
        </w:rPr>
        <w:t xml:space="preserve">to </w:t>
      </w:r>
      <w:r w:rsidR="00176EF1">
        <w:rPr>
          <w:rFonts w:ascii="Times New Roman" w:hAnsi="Times New Roman" w:cs="Times New Roman"/>
          <w:color w:val="403152" w:themeColor="accent4" w:themeShade="80"/>
          <w:sz w:val="24"/>
          <w:szCs w:val="24"/>
        </w:rPr>
        <w:t>be made for hire, evidenced by Congress’s rejection of such language of narrow interpretation.</w:t>
      </w:r>
    </w:p>
    <w:p w14:paraId="3BE72940" w14:textId="77777777" w:rsidR="00240583" w:rsidRPr="00240583" w:rsidRDefault="00D9030E" w:rsidP="00240583">
      <w:pPr>
        <w:pStyle w:val="ListParagraph"/>
        <w:numPr>
          <w:ilvl w:val="0"/>
          <w:numId w:val="2"/>
        </w:numPr>
        <w:spacing w:line="240" w:lineRule="auto"/>
        <w:rPr>
          <w:rFonts w:ascii="Times New Roman" w:hAnsi="Times New Roman" w:cs="Times New Roman"/>
          <w:b/>
          <w:color w:val="403152" w:themeColor="accent4" w:themeShade="80"/>
          <w:sz w:val="24"/>
          <w:szCs w:val="24"/>
        </w:rPr>
      </w:pPr>
      <w:r w:rsidRPr="00240583">
        <w:rPr>
          <w:rFonts w:ascii="Times New Roman" w:hAnsi="Times New Roman" w:cs="Times New Roman"/>
          <w:b/>
          <w:color w:val="403152" w:themeColor="accent4" w:themeShade="80"/>
          <w:sz w:val="24"/>
          <w:szCs w:val="24"/>
        </w:rPr>
        <w:t xml:space="preserve">Other Jurisdictions </w:t>
      </w:r>
      <w:r w:rsidR="00240583" w:rsidRPr="00240583">
        <w:rPr>
          <w:rFonts w:ascii="Times New Roman" w:hAnsi="Times New Roman" w:cs="Times New Roman"/>
          <w:b/>
          <w:color w:val="403152" w:themeColor="accent4" w:themeShade="80"/>
          <w:sz w:val="24"/>
          <w:szCs w:val="24"/>
        </w:rPr>
        <w:t>Uphold That The</w:t>
      </w:r>
      <w:r w:rsidR="00596F35" w:rsidRPr="00240583">
        <w:rPr>
          <w:rFonts w:ascii="Times New Roman" w:hAnsi="Times New Roman" w:cs="Times New Roman"/>
          <w:b/>
          <w:color w:val="403152" w:themeColor="accent4" w:themeShade="80"/>
          <w:sz w:val="24"/>
          <w:szCs w:val="24"/>
        </w:rPr>
        <w:t xml:space="preserve"> </w:t>
      </w:r>
      <w:r w:rsidR="000547BB">
        <w:rPr>
          <w:rFonts w:ascii="Times New Roman" w:hAnsi="Times New Roman" w:cs="Times New Roman"/>
          <w:b/>
          <w:color w:val="403152" w:themeColor="accent4" w:themeShade="80"/>
          <w:sz w:val="24"/>
          <w:szCs w:val="24"/>
        </w:rPr>
        <w:t xml:space="preserve">Copyright </w:t>
      </w:r>
      <w:r w:rsidR="001D068A">
        <w:rPr>
          <w:rFonts w:ascii="Times New Roman" w:hAnsi="Times New Roman" w:cs="Times New Roman"/>
          <w:b/>
          <w:color w:val="403152" w:themeColor="accent4" w:themeShade="80"/>
          <w:sz w:val="24"/>
          <w:szCs w:val="24"/>
        </w:rPr>
        <w:t xml:space="preserve">Act’s </w:t>
      </w:r>
      <w:r w:rsidR="00240583" w:rsidRPr="00240583">
        <w:rPr>
          <w:rFonts w:ascii="Times New Roman" w:hAnsi="Times New Roman" w:cs="Times New Roman"/>
          <w:b/>
          <w:color w:val="403152" w:themeColor="accent4" w:themeShade="80"/>
          <w:sz w:val="24"/>
          <w:szCs w:val="24"/>
        </w:rPr>
        <w:t>Requisite Written Agreement</w:t>
      </w:r>
      <w:r w:rsidR="00596F35" w:rsidRPr="00240583">
        <w:rPr>
          <w:rFonts w:ascii="Times New Roman" w:hAnsi="Times New Roman" w:cs="Times New Roman"/>
          <w:b/>
          <w:color w:val="403152" w:themeColor="accent4" w:themeShade="80"/>
          <w:sz w:val="24"/>
          <w:szCs w:val="24"/>
        </w:rPr>
        <w:t xml:space="preserve"> </w:t>
      </w:r>
      <w:r w:rsidR="00240583" w:rsidRPr="00240583">
        <w:rPr>
          <w:rFonts w:ascii="Times New Roman" w:hAnsi="Times New Roman" w:cs="Times New Roman"/>
          <w:b/>
          <w:color w:val="403152" w:themeColor="accent4" w:themeShade="80"/>
          <w:sz w:val="24"/>
          <w:szCs w:val="24"/>
        </w:rPr>
        <w:t>May Be Signed Following The Creation of “Anticipatory Repudiation” As A Work Made For Hire</w:t>
      </w:r>
      <w:r w:rsidR="00240583">
        <w:rPr>
          <w:rFonts w:ascii="Times New Roman" w:hAnsi="Times New Roman" w:cs="Times New Roman"/>
          <w:b/>
          <w:color w:val="403152" w:themeColor="accent4" w:themeShade="80"/>
          <w:sz w:val="24"/>
          <w:szCs w:val="24"/>
        </w:rPr>
        <w:t>.</w:t>
      </w:r>
    </w:p>
    <w:p w14:paraId="2E265FAE" w14:textId="77777777" w:rsidR="00E8511F" w:rsidRPr="00E519DB" w:rsidRDefault="00CA7631" w:rsidP="00D4002B">
      <w:pPr>
        <w:spacing w:line="480" w:lineRule="auto"/>
        <w:ind w:firstLine="720"/>
        <w:contextualSpacing/>
        <w:rPr>
          <w:rFonts w:ascii="Times New Roman" w:hAnsi="Times New Roman" w:cs="Times New Roman"/>
          <w:color w:val="403152" w:themeColor="accent4" w:themeShade="80"/>
          <w:sz w:val="24"/>
          <w:szCs w:val="24"/>
        </w:rPr>
      </w:pPr>
      <w:r>
        <w:rPr>
          <w:rFonts w:ascii="Times New Roman" w:hAnsi="Times New Roman" w:cs="Times New Roman"/>
          <w:color w:val="403152" w:themeColor="accent4" w:themeShade="80"/>
          <w:sz w:val="24"/>
          <w:szCs w:val="24"/>
        </w:rPr>
        <w:t>Multiple jurisdictions</w:t>
      </w:r>
      <w:r w:rsidR="00F53365" w:rsidRPr="00E519DB">
        <w:rPr>
          <w:rFonts w:ascii="Times New Roman" w:hAnsi="Times New Roman" w:cs="Times New Roman"/>
          <w:color w:val="403152" w:themeColor="accent4" w:themeShade="80"/>
          <w:sz w:val="24"/>
          <w:szCs w:val="24"/>
        </w:rPr>
        <w:t xml:space="preserve"> </w:t>
      </w:r>
      <w:r>
        <w:rPr>
          <w:rFonts w:ascii="Times New Roman" w:hAnsi="Times New Roman" w:cs="Times New Roman"/>
          <w:color w:val="403152" w:themeColor="accent4" w:themeShade="80"/>
          <w:sz w:val="24"/>
          <w:szCs w:val="24"/>
        </w:rPr>
        <w:t>offer persuasive authority</w:t>
      </w:r>
      <w:r w:rsidR="00F53365" w:rsidRPr="00E519DB">
        <w:rPr>
          <w:rFonts w:ascii="Times New Roman" w:hAnsi="Times New Roman" w:cs="Times New Roman"/>
          <w:color w:val="403152" w:themeColor="accent4" w:themeShade="80"/>
          <w:sz w:val="24"/>
          <w:szCs w:val="24"/>
        </w:rPr>
        <w:t xml:space="preserve"> that </w:t>
      </w:r>
      <w:r w:rsidR="00D4002B" w:rsidRPr="00E519DB">
        <w:rPr>
          <w:rFonts w:ascii="Times New Roman" w:hAnsi="Times New Roman" w:cs="Times New Roman"/>
          <w:color w:val="403152" w:themeColor="accent4" w:themeShade="80"/>
          <w:sz w:val="24"/>
          <w:szCs w:val="24"/>
        </w:rPr>
        <w:t xml:space="preserve">a post-creation signed writing is sufficient to meet </w:t>
      </w:r>
      <w:bookmarkStart w:id="36" w:name="CITRUS_BOOKMARK1000000040"/>
      <w:r w:rsidR="00726F46">
        <w:rPr>
          <w:rFonts w:ascii="Times New Roman" w:hAnsi="Times New Roman" w:cs="Times New Roman"/>
          <w:color w:val="403152" w:themeColor="accent4" w:themeShade="80"/>
          <w:sz w:val="24"/>
          <w:szCs w:val="24"/>
        </w:rPr>
        <w:t>§ 101(2)</w:t>
      </w:r>
      <w:bookmarkEnd w:id="36"/>
      <w:r w:rsidR="00726F46">
        <w:rPr>
          <w:rFonts w:ascii="Times New Roman" w:hAnsi="Times New Roman" w:cs="Times New Roman"/>
          <w:color w:val="403152" w:themeColor="accent4" w:themeShade="80"/>
          <w:sz w:val="24"/>
          <w:szCs w:val="24"/>
        </w:rPr>
        <w:t>’</w:t>
      </w:r>
      <w:r w:rsidR="00E8511F" w:rsidRPr="00E519DB">
        <w:rPr>
          <w:rFonts w:ascii="Times New Roman" w:hAnsi="Times New Roman" w:cs="Times New Roman"/>
          <w:color w:val="403152" w:themeColor="accent4" w:themeShade="80"/>
          <w:sz w:val="24"/>
          <w:szCs w:val="24"/>
        </w:rPr>
        <w:t xml:space="preserve">s </w:t>
      </w:r>
      <w:r w:rsidR="00F65A9E" w:rsidRPr="00E519DB">
        <w:rPr>
          <w:rFonts w:ascii="Times New Roman" w:hAnsi="Times New Roman" w:cs="Times New Roman"/>
          <w:color w:val="403152" w:themeColor="accent4" w:themeShade="80"/>
          <w:sz w:val="24"/>
          <w:szCs w:val="24"/>
        </w:rPr>
        <w:t xml:space="preserve">signed writing </w:t>
      </w:r>
      <w:r w:rsidR="00D4002B" w:rsidRPr="00E519DB">
        <w:rPr>
          <w:rFonts w:ascii="Times New Roman" w:hAnsi="Times New Roman" w:cs="Times New Roman"/>
          <w:color w:val="403152" w:themeColor="accent4" w:themeShade="80"/>
          <w:sz w:val="24"/>
          <w:szCs w:val="24"/>
        </w:rPr>
        <w:t>requirement</w:t>
      </w:r>
      <w:r w:rsidR="00E8511F" w:rsidRPr="00E519DB">
        <w:rPr>
          <w:rFonts w:ascii="Times New Roman" w:hAnsi="Times New Roman" w:cs="Times New Roman"/>
          <w:color w:val="403152" w:themeColor="accent4" w:themeShade="80"/>
          <w:sz w:val="24"/>
          <w:szCs w:val="24"/>
        </w:rPr>
        <w:t xml:space="preserve"> </w:t>
      </w:r>
      <w:r w:rsidR="00F65A9E" w:rsidRPr="00E519DB">
        <w:rPr>
          <w:rFonts w:ascii="Times New Roman" w:hAnsi="Times New Roman" w:cs="Times New Roman"/>
          <w:color w:val="403152" w:themeColor="accent4" w:themeShade="80"/>
          <w:sz w:val="24"/>
          <w:szCs w:val="24"/>
        </w:rPr>
        <w:t>if it confirms a pre-creation agreement that a work was to be considered a work made for hire.</w:t>
      </w:r>
      <w:r>
        <w:rPr>
          <w:rFonts w:ascii="Times New Roman" w:hAnsi="Times New Roman" w:cs="Times New Roman"/>
          <w:color w:val="403152" w:themeColor="accent4" w:themeShade="80"/>
          <w:sz w:val="24"/>
          <w:szCs w:val="24"/>
        </w:rPr>
        <w:t xml:space="preserve"> </w:t>
      </w:r>
      <w:bookmarkStart w:id="37" w:name="CITRUS_BOOKMARK41"/>
      <w:r w:rsidR="0055279B" w:rsidRPr="00427A13">
        <w:rPr>
          <w:rFonts w:ascii="Times New Roman" w:hAnsi="Times New Roman" w:cs="Times New Roman"/>
          <w:i/>
          <w:color w:val="403152" w:themeColor="accent4" w:themeShade="80"/>
          <w:sz w:val="24"/>
          <w:szCs w:val="24"/>
        </w:rPr>
        <w:t>TMTV, Corp. v. Mass Prods</w:t>
      </w:r>
      <w:proofErr w:type="gramStart"/>
      <w:r w:rsidR="0055279B" w:rsidRPr="00427A13">
        <w:rPr>
          <w:rFonts w:ascii="Times New Roman" w:hAnsi="Times New Roman" w:cs="Times New Roman"/>
          <w:i/>
          <w:color w:val="403152" w:themeColor="accent4" w:themeShade="80"/>
          <w:sz w:val="24"/>
          <w:szCs w:val="24"/>
        </w:rPr>
        <w:t>.</w:t>
      </w:r>
      <w:r w:rsidR="0055279B">
        <w:rPr>
          <w:rFonts w:ascii="Times New Roman" w:hAnsi="Times New Roman" w:cs="Times New Roman"/>
          <w:color w:val="403152" w:themeColor="accent4" w:themeShade="80"/>
          <w:sz w:val="24"/>
          <w:szCs w:val="24"/>
        </w:rPr>
        <w:t>,</w:t>
      </w:r>
      <w:proofErr w:type="gramEnd"/>
      <w:r w:rsidR="0055279B">
        <w:rPr>
          <w:rFonts w:ascii="Times New Roman" w:hAnsi="Times New Roman" w:cs="Times New Roman"/>
          <w:color w:val="403152" w:themeColor="accent4" w:themeShade="80"/>
          <w:sz w:val="24"/>
          <w:szCs w:val="24"/>
        </w:rPr>
        <w:t xml:space="preserve"> 645 F.3d 464 (1st Cir. 2011)</w:t>
      </w:r>
      <w:bookmarkEnd w:id="37"/>
      <w:r w:rsidRPr="006F4FE0">
        <w:rPr>
          <w:rFonts w:ascii="Times New Roman" w:hAnsi="Times New Roman" w:cs="Times New Roman"/>
          <w:color w:val="403152" w:themeColor="accent4" w:themeShade="80"/>
          <w:sz w:val="24"/>
          <w:szCs w:val="24"/>
        </w:rPr>
        <w:t xml:space="preserve">; </w:t>
      </w:r>
      <w:bookmarkStart w:id="38" w:name="CITRUS_BOOKMARK42"/>
      <w:r w:rsidR="0055279B" w:rsidRPr="00427A13">
        <w:rPr>
          <w:rFonts w:ascii="Times New Roman" w:hAnsi="Times New Roman" w:cs="Times New Roman"/>
          <w:i/>
          <w:iCs/>
          <w:color w:val="403152" w:themeColor="accent4" w:themeShade="80"/>
          <w:sz w:val="24"/>
          <w:szCs w:val="24"/>
        </w:rPr>
        <w:t>Playboy Enters. v. Dumas</w:t>
      </w:r>
      <w:r w:rsidR="0055279B">
        <w:rPr>
          <w:rFonts w:ascii="Times New Roman" w:hAnsi="Times New Roman" w:cs="Times New Roman"/>
          <w:iCs/>
          <w:color w:val="403152" w:themeColor="accent4" w:themeShade="80"/>
          <w:sz w:val="24"/>
          <w:szCs w:val="24"/>
        </w:rPr>
        <w:t>, 53 F.3d 549, 559 (2d Cir. 1995)</w:t>
      </w:r>
      <w:bookmarkEnd w:id="38"/>
      <w:r w:rsidRPr="006F4FE0">
        <w:rPr>
          <w:rFonts w:ascii="Times New Roman" w:hAnsi="Times New Roman" w:cs="Times New Roman"/>
          <w:iCs/>
          <w:color w:val="403152" w:themeColor="accent4" w:themeShade="80"/>
          <w:sz w:val="24"/>
          <w:szCs w:val="24"/>
        </w:rPr>
        <w:t>.</w:t>
      </w:r>
      <w:r w:rsidR="00E8511F" w:rsidRPr="00E519DB">
        <w:rPr>
          <w:rFonts w:ascii="Times New Roman" w:hAnsi="Times New Roman" w:cs="Times New Roman"/>
          <w:color w:val="403152" w:themeColor="accent4" w:themeShade="80"/>
          <w:sz w:val="24"/>
          <w:szCs w:val="24"/>
        </w:rPr>
        <w:t xml:space="preserve"> </w:t>
      </w:r>
      <w:r w:rsidR="00194AA4" w:rsidRPr="00E519DB">
        <w:rPr>
          <w:rFonts w:ascii="Times New Roman" w:hAnsi="Times New Roman" w:cs="Times New Roman"/>
          <w:color w:val="403152" w:themeColor="accent4" w:themeShade="80"/>
          <w:sz w:val="24"/>
          <w:szCs w:val="24"/>
        </w:rPr>
        <w:t>The Supreme Court has</w:t>
      </w:r>
      <w:r w:rsidR="00E8511F" w:rsidRPr="00E519DB">
        <w:rPr>
          <w:rFonts w:ascii="Times New Roman" w:hAnsi="Times New Roman" w:cs="Times New Roman"/>
          <w:color w:val="403152" w:themeColor="accent4" w:themeShade="80"/>
          <w:sz w:val="24"/>
          <w:szCs w:val="24"/>
        </w:rPr>
        <w:t xml:space="preserve"> not </w:t>
      </w:r>
      <w:r w:rsidR="00072130">
        <w:rPr>
          <w:rFonts w:ascii="Times New Roman" w:hAnsi="Times New Roman" w:cs="Times New Roman"/>
          <w:color w:val="403152" w:themeColor="accent4" w:themeShade="80"/>
          <w:sz w:val="24"/>
          <w:szCs w:val="24"/>
        </w:rPr>
        <w:t xml:space="preserve">considered </w:t>
      </w:r>
      <w:r w:rsidR="00E8511F" w:rsidRPr="00E519DB">
        <w:rPr>
          <w:rFonts w:ascii="Times New Roman" w:hAnsi="Times New Roman" w:cs="Times New Roman"/>
          <w:color w:val="403152" w:themeColor="accent4" w:themeShade="80"/>
          <w:sz w:val="24"/>
          <w:szCs w:val="24"/>
        </w:rPr>
        <w:t>the question</w:t>
      </w:r>
      <w:r w:rsidR="00194AA4" w:rsidRPr="00E519DB">
        <w:rPr>
          <w:rFonts w:ascii="Times New Roman" w:hAnsi="Times New Roman" w:cs="Times New Roman"/>
          <w:color w:val="403152" w:themeColor="accent4" w:themeShade="80"/>
          <w:sz w:val="24"/>
          <w:szCs w:val="24"/>
        </w:rPr>
        <w:t xml:space="preserve"> yet, and neither have most of the Circuit Courts, where there is an </w:t>
      </w:r>
      <w:r>
        <w:rPr>
          <w:rFonts w:ascii="Times New Roman" w:hAnsi="Times New Roman" w:cs="Times New Roman"/>
          <w:color w:val="403152" w:themeColor="accent4" w:themeShade="80"/>
          <w:sz w:val="24"/>
          <w:szCs w:val="24"/>
        </w:rPr>
        <w:t>identified</w:t>
      </w:r>
      <w:r w:rsidR="00194AA4" w:rsidRPr="00E519DB">
        <w:rPr>
          <w:rFonts w:ascii="Times New Roman" w:hAnsi="Times New Roman" w:cs="Times New Roman"/>
          <w:color w:val="403152" w:themeColor="accent4" w:themeShade="80"/>
          <w:sz w:val="24"/>
          <w:szCs w:val="24"/>
        </w:rPr>
        <w:t xml:space="preserve"> split</w:t>
      </w:r>
      <w:r w:rsidR="00E8511F" w:rsidRPr="00E519DB">
        <w:rPr>
          <w:rFonts w:ascii="Times New Roman" w:hAnsi="Times New Roman" w:cs="Times New Roman"/>
          <w:color w:val="403152" w:themeColor="accent4" w:themeShade="80"/>
          <w:sz w:val="24"/>
          <w:szCs w:val="24"/>
        </w:rPr>
        <w:t xml:space="preserve">. Neither of the two circuits which have heard relevant cases is binding on the courts of Moot. Given the above analysis of the plain meaning of the </w:t>
      </w:r>
      <w:r w:rsidR="000547BB">
        <w:rPr>
          <w:rFonts w:ascii="Times New Roman" w:hAnsi="Times New Roman" w:cs="Times New Roman"/>
          <w:color w:val="403152" w:themeColor="accent4" w:themeShade="80"/>
          <w:sz w:val="24"/>
          <w:szCs w:val="24"/>
        </w:rPr>
        <w:t xml:space="preserve">Copyright </w:t>
      </w:r>
      <w:r w:rsidR="00E8511F" w:rsidRPr="00E519DB">
        <w:rPr>
          <w:rFonts w:ascii="Times New Roman" w:hAnsi="Times New Roman" w:cs="Times New Roman"/>
          <w:color w:val="403152" w:themeColor="accent4" w:themeShade="80"/>
          <w:sz w:val="24"/>
          <w:szCs w:val="24"/>
        </w:rPr>
        <w:t xml:space="preserve">Act and its legislative history, the court today has the freedom to recognize </w:t>
      </w:r>
      <w:r>
        <w:rPr>
          <w:rFonts w:ascii="Times New Roman" w:hAnsi="Times New Roman" w:cs="Times New Roman"/>
          <w:color w:val="403152" w:themeColor="accent4" w:themeShade="80"/>
          <w:sz w:val="24"/>
          <w:szCs w:val="24"/>
        </w:rPr>
        <w:t>OGS’s</w:t>
      </w:r>
      <w:r w:rsidR="00E8511F" w:rsidRPr="00E519DB">
        <w:rPr>
          <w:rFonts w:ascii="Times New Roman" w:hAnsi="Times New Roman" w:cs="Times New Roman"/>
          <w:color w:val="403152" w:themeColor="accent4" w:themeShade="80"/>
          <w:sz w:val="24"/>
          <w:szCs w:val="24"/>
        </w:rPr>
        <w:t xml:space="preserve"> </w:t>
      </w:r>
      <w:r w:rsidR="000A1DE6" w:rsidRPr="00E519DB">
        <w:rPr>
          <w:rFonts w:ascii="Times New Roman" w:hAnsi="Times New Roman" w:cs="Times New Roman"/>
          <w:color w:val="403152" w:themeColor="accent4" w:themeShade="80"/>
          <w:sz w:val="24"/>
          <w:szCs w:val="24"/>
        </w:rPr>
        <w:t>arrangement</w:t>
      </w:r>
      <w:r w:rsidR="00E8511F" w:rsidRPr="00E519DB">
        <w:rPr>
          <w:rFonts w:ascii="Times New Roman" w:hAnsi="Times New Roman" w:cs="Times New Roman"/>
          <w:color w:val="403152" w:themeColor="accent4" w:themeShade="80"/>
          <w:sz w:val="24"/>
          <w:szCs w:val="24"/>
        </w:rPr>
        <w:t xml:space="preserve"> with Lime as </w:t>
      </w:r>
      <w:r w:rsidR="000A1DE6" w:rsidRPr="00965EFF">
        <w:rPr>
          <w:rFonts w:ascii="Times New Roman" w:hAnsi="Times New Roman" w:cs="Times New Roman"/>
          <w:color w:val="403152" w:themeColor="accent4" w:themeShade="80"/>
          <w:sz w:val="24"/>
          <w:szCs w:val="24"/>
        </w:rPr>
        <w:t xml:space="preserve">being for </w:t>
      </w:r>
      <w:r w:rsidR="00E8511F" w:rsidRPr="00965EFF">
        <w:rPr>
          <w:rFonts w:ascii="Times New Roman" w:hAnsi="Times New Roman" w:cs="Times New Roman"/>
          <w:color w:val="403152" w:themeColor="accent4" w:themeShade="80"/>
          <w:sz w:val="24"/>
          <w:szCs w:val="24"/>
        </w:rPr>
        <w:t>a</w:t>
      </w:r>
      <w:r w:rsidR="00E8511F" w:rsidRPr="00E519DB">
        <w:rPr>
          <w:rFonts w:ascii="Times New Roman" w:hAnsi="Times New Roman" w:cs="Times New Roman"/>
          <w:color w:val="403152" w:themeColor="accent4" w:themeShade="80"/>
          <w:sz w:val="24"/>
          <w:szCs w:val="24"/>
        </w:rPr>
        <w:t xml:space="preserve"> work</w:t>
      </w:r>
      <w:r w:rsidR="000A1DE6" w:rsidRPr="00E519DB">
        <w:rPr>
          <w:rFonts w:ascii="Times New Roman" w:hAnsi="Times New Roman" w:cs="Times New Roman"/>
          <w:color w:val="403152" w:themeColor="accent4" w:themeShade="80"/>
          <w:sz w:val="24"/>
          <w:szCs w:val="24"/>
        </w:rPr>
        <w:t xml:space="preserve"> </w:t>
      </w:r>
      <w:r w:rsidR="00E8511F" w:rsidRPr="00E519DB">
        <w:rPr>
          <w:rFonts w:ascii="Times New Roman" w:hAnsi="Times New Roman" w:cs="Times New Roman"/>
          <w:color w:val="403152" w:themeColor="accent4" w:themeShade="80"/>
          <w:sz w:val="24"/>
          <w:szCs w:val="24"/>
        </w:rPr>
        <w:t>made</w:t>
      </w:r>
      <w:r w:rsidR="000A1DE6" w:rsidRPr="00E519DB">
        <w:rPr>
          <w:rFonts w:ascii="Times New Roman" w:hAnsi="Times New Roman" w:cs="Times New Roman"/>
          <w:color w:val="403152" w:themeColor="accent4" w:themeShade="80"/>
          <w:sz w:val="24"/>
          <w:szCs w:val="24"/>
        </w:rPr>
        <w:t xml:space="preserve"> </w:t>
      </w:r>
      <w:r w:rsidR="00E8511F" w:rsidRPr="00E519DB">
        <w:rPr>
          <w:rFonts w:ascii="Times New Roman" w:hAnsi="Times New Roman" w:cs="Times New Roman"/>
          <w:color w:val="403152" w:themeColor="accent4" w:themeShade="80"/>
          <w:sz w:val="24"/>
          <w:szCs w:val="24"/>
        </w:rPr>
        <w:t>for</w:t>
      </w:r>
      <w:r w:rsidR="000A1DE6" w:rsidRPr="00E519DB">
        <w:rPr>
          <w:rFonts w:ascii="Times New Roman" w:hAnsi="Times New Roman" w:cs="Times New Roman"/>
          <w:color w:val="403152" w:themeColor="accent4" w:themeShade="80"/>
          <w:sz w:val="24"/>
          <w:szCs w:val="24"/>
        </w:rPr>
        <w:t xml:space="preserve"> </w:t>
      </w:r>
      <w:r>
        <w:rPr>
          <w:rFonts w:ascii="Times New Roman" w:hAnsi="Times New Roman" w:cs="Times New Roman"/>
          <w:color w:val="403152" w:themeColor="accent4" w:themeShade="80"/>
          <w:sz w:val="24"/>
          <w:szCs w:val="24"/>
        </w:rPr>
        <w:t>hire, and i</w:t>
      </w:r>
      <w:r w:rsidRPr="000547BB">
        <w:rPr>
          <w:rFonts w:ascii="Times New Roman" w:hAnsi="Times New Roman" w:cs="Times New Roman"/>
          <w:color w:val="403152" w:themeColor="accent4" w:themeShade="80"/>
          <w:sz w:val="24"/>
          <w:szCs w:val="24"/>
        </w:rPr>
        <w:t xml:space="preserve">t </w:t>
      </w:r>
      <w:r w:rsidR="00F60214" w:rsidRPr="000547BB">
        <w:rPr>
          <w:rFonts w:ascii="Times New Roman" w:hAnsi="Times New Roman" w:cs="Times New Roman"/>
          <w:color w:val="403152" w:themeColor="accent4" w:themeShade="80"/>
          <w:sz w:val="24"/>
          <w:szCs w:val="24"/>
        </w:rPr>
        <w:t>must</w:t>
      </w:r>
      <w:r w:rsidRPr="000547BB">
        <w:rPr>
          <w:rFonts w:ascii="Times New Roman" w:hAnsi="Times New Roman" w:cs="Times New Roman"/>
          <w:color w:val="403152" w:themeColor="accent4" w:themeShade="80"/>
          <w:sz w:val="24"/>
          <w:szCs w:val="24"/>
        </w:rPr>
        <w:t xml:space="preserve"> do so</w:t>
      </w:r>
      <w:r w:rsidR="00072130" w:rsidRPr="000547BB">
        <w:rPr>
          <w:rFonts w:ascii="Times New Roman" w:hAnsi="Times New Roman" w:cs="Times New Roman"/>
          <w:color w:val="403152" w:themeColor="accent4" w:themeShade="80"/>
          <w:sz w:val="24"/>
          <w:szCs w:val="24"/>
        </w:rPr>
        <w:t xml:space="preserve"> because, based on case law</w:t>
      </w:r>
      <w:r w:rsidR="00FA663F" w:rsidRPr="000547BB">
        <w:rPr>
          <w:rFonts w:ascii="Times New Roman" w:hAnsi="Times New Roman" w:cs="Times New Roman"/>
          <w:color w:val="403152" w:themeColor="accent4" w:themeShade="80"/>
          <w:sz w:val="24"/>
          <w:szCs w:val="24"/>
        </w:rPr>
        <w:t xml:space="preserve">, other courts would </w:t>
      </w:r>
      <w:r w:rsidR="000547BB" w:rsidRPr="000547BB">
        <w:rPr>
          <w:rFonts w:ascii="Times New Roman" w:hAnsi="Times New Roman" w:cs="Times New Roman"/>
          <w:color w:val="403152" w:themeColor="accent4" w:themeShade="80"/>
          <w:sz w:val="24"/>
          <w:szCs w:val="24"/>
        </w:rPr>
        <w:t>also</w:t>
      </w:r>
      <w:r w:rsidR="00FA663F" w:rsidRPr="000547BB">
        <w:rPr>
          <w:rFonts w:ascii="Times New Roman" w:hAnsi="Times New Roman" w:cs="Times New Roman"/>
          <w:color w:val="403152" w:themeColor="accent4" w:themeShade="80"/>
          <w:sz w:val="24"/>
          <w:szCs w:val="24"/>
        </w:rPr>
        <w:t xml:space="preserve"> decide in OGS’s favor</w:t>
      </w:r>
      <w:r w:rsidRPr="000547BB">
        <w:rPr>
          <w:rFonts w:ascii="Times New Roman" w:hAnsi="Times New Roman" w:cs="Times New Roman"/>
          <w:color w:val="403152" w:themeColor="accent4" w:themeShade="80"/>
          <w:sz w:val="24"/>
          <w:szCs w:val="24"/>
        </w:rPr>
        <w:t>.</w:t>
      </w:r>
    </w:p>
    <w:p w14:paraId="1131717A" w14:textId="77777777" w:rsidR="00072130" w:rsidRPr="00B03722" w:rsidRDefault="00726F46" w:rsidP="00072130">
      <w:pPr>
        <w:spacing w:line="480" w:lineRule="auto"/>
        <w:ind w:firstLine="720"/>
        <w:contextualSpacing/>
        <w:rPr>
          <w:rFonts w:ascii="Times New Roman" w:hAnsi="Times New Roman" w:cs="Times New Roman"/>
          <w:color w:val="403152" w:themeColor="accent4" w:themeShade="80"/>
          <w:sz w:val="24"/>
          <w:szCs w:val="24"/>
        </w:rPr>
      </w:pPr>
      <w:r w:rsidRPr="00726F46">
        <w:rPr>
          <w:rFonts w:ascii="Times New Roman" w:hAnsi="Times New Roman" w:cs="Times New Roman"/>
          <w:color w:val="403152" w:themeColor="accent4" w:themeShade="80"/>
          <w:sz w:val="24"/>
          <w:szCs w:val="24"/>
        </w:rPr>
        <w:t>While t</w:t>
      </w:r>
      <w:r w:rsidR="000547BB" w:rsidRPr="00726F46">
        <w:rPr>
          <w:rFonts w:ascii="Times New Roman" w:hAnsi="Times New Roman" w:cs="Times New Roman"/>
          <w:color w:val="403152" w:themeColor="accent4" w:themeShade="80"/>
          <w:sz w:val="24"/>
          <w:szCs w:val="24"/>
        </w:rPr>
        <w:t xml:space="preserve">he Seventh Circuit has narrowly interpreted </w:t>
      </w:r>
      <w:bookmarkStart w:id="39" w:name="CITRUS_BOOKMARK1000000043"/>
      <w:r w:rsidR="000547BB" w:rsidRPr="00726F46">
        <w:rPr>
          <w:rFonts w:ascii="Times New Roman" w:hAnsi="Times New Roman" w:cs="Times New Roman"/>
          <w:color w:val="403152" w:themeColor="accent4" w:themeShade="80"/>
          <w:sz w:val="24"/>
          <w:szCs w:val="24"/>
        </w:rPr>
        <w:t>§ 101(2)</w:t>
      </w:r>
      <w:bookmarkEnd w:id="39"/>
      <w:r w:rsidR="000547BB" w:rsidRPr="00726F46">
        <w:rPr>
          <w:rFonts w:ascii="Times New Roman" w:hAnsi="Times New Roman" w:cs="Times New Roman"/>
          <w:color w:val="403152" w:themeColor="accent4" w:themeShade="80"/>
          <w:sz w:val="24"/>
          <w:szCs w:val="24"/>
        </w:rPr>
        <w:t xml:space="preserve"> to read that the required signed written agreement must be executed before creation of the copyrighted work</w:t>
      </w:r>
      <w:r w:rsidRPr="00726F46">
        <w:rPr>
          <w:rFonts w:ascii="Times New Roman" w:hAnsi="Times New Roman" w:cs="Times New Roman"/>
          <w:color w:val="403152" w:themeColor="accent4" w:themeShade="80"/>
          <w:sz w:val="24"/>
          <w:szCs w:val="24"/>
        </w:rPr>
        <w:t xml:space="preserve">, the primary case is factually distinguishable from the cases in the Second Circuit which more broadly </w:t>
      </w:r>
      <w:r w:rsidRPr="00726F46">
        <w:rPr>
          <w:rFonts w:ascii="Times New Roman" w:hAnsi="Times New Roman" w:cs="Times New Roman"/>
          <w:color w:val="403152" w:themeColor="accent4" w:themeShade="80"/>
          <w:sz w:val="24"/>
          <w:szCs w:val="24"/>
        </w:rPr>
        <w:lastRenderedPageBreak/>
        <w:t>interpret the Act as recognizing work-for-hire status in the absence of a pre-creation execution of the required signed writing.</w:t>
      </w:r>
      <w:r w:rsidR="0055279B">
        <w:rPr>
          <w:rFonts w:ascii="Times New Roman" w:hAnsi="Times New Roman" w:cs="Times New Roman"/>
          <w:color w:val="403152" w:themeColor="accent4" w:themeShade="80"/>
          <w:sz w:val="24"/>
          <w:szCs w:val="24"/>
        </w:rPr>
        <w:t xml:space="preserve"> </w:t>
      </w:r>
      <w:r w:rsidR="0055279B" w:rsidRPr="00427A13">
        <w:rPr>
          <w:rFonts w:ascii="Times New Roman" w:hAnsi="Times New Roman" w:cs="Times New Roman"/>
          <w:i/>
          <w:color w:val="403152" w:themeColor="accent4" w:themeShade="80"/>
          <w:sz w:val="24"/>
          <w:szCs w:val="24"/>
        </w:rPr>
        <w:t>See</w:t>
      </w:r>
      <w:r w:rsidRPr="00726F46">
        <w:rPr>
          <w:rFonts w:ascii="Times New Roman" w:hAnsi="Times New Roman" w:cs="Times New Roman"/>
          <w:color w:val="403152" w:themeColor="accent4" w:themeShade="80"/>
          <w:sz w:val="24"/>
          <w:szCs w:val="24"/>
        </w:rPr>
        <w:t xml:space="preserve"> </w:t>
      </w:r>
      <w:bookmarkStart w:id="40" w:name="CITRUS_BOOKMARK45"/>
      <w:r w:rsidR="0055279B" w:rsidRPr="00427A13">
        <w:rPr>
          <w:rFonts w:ascii="Times New Roman" w:hAnsi="Times New Roman" w:cs="Times New Roman"/>
          <w:i/>
          <w:color w:val="403152" w:themeColor="accent4" w:themeShade="80"/>
          <w:sz w:val="24"/>
          <w:szCs w:val="24"/>
        </w:rPr>
        <w:t xml:space="preserve">Schiller &amp; Schmidt v. </w:t>
      </w:r>
      <w:proofErr w:type="spellStart"/>
      <w:r w:rsidR="0055279B" w:rsidRPr="00427A13">
        <w:rPr>
          <w:rFonts w:ascii="Times New Roman" w:hAnsi="Times New Roman" w:cs="Times New Roman"/>
          <w:i/>
          <w:color w:val="403152" w:themeColor="accent4" w:themeShade="80"/>
          <w:sz w:val="24"/>
          <w:szCs w:val="24"/>
        </w:rPr>
        <w:t>Nordisco</w:t>
      </w:r>
      <w:proofErr w:type="spellEnd"/>
      <w:r w:rsidR="0055279B" w:rsidRPr="00427A13">
        <w:rPr>
          <w:rFonts w:ascii="Times New Roman" w:hAnsi="Times New Roman" w:cs="Times New Roman"/>
          <w:i/>
          <w:color w:val="403152" w:themeColor="accent4" w:themeShade="80"/>
          <w:sz w:val="24"/>
          <w:szCs w:val="24"/>
        </w:rPr>
        <w:t xml:space="preserve"> Corp.</w:t>
      </w:r>
      <w:r w:rsidR="0055279B" w:rsidRPr="0055279B">
        <w:rPr>
          <w:rFonts w:ascii="Times New Roman" w:hAnsi="Times New Roman" w:cs="Times New Roman"/>
          <w:color w:val="403152" w:themeColor="accent4" w:themeShade="80"/>
          <w:sz w:val="24"/>
          <w:szCs w:val="24"/>
        </w:rPr>
        <w:t>, 969 F.2d 410, 412 (7th Cir. 1992)</w:t>
      </w:r>
      <w:bookmarkEnd w:id="40"/>
      <w:r>
        <w:rPr>
          <w:rFonts w:ascii="Times New Roman" w:hAnsi="Times New Roman" w:cs="Times New Roman"/>
          <w:color w:val="403152" w:themeColor="accent4" w:themeShade="80"/>
          <w:sz w:val="24"/>
          <w:szCs w:val="24"/>
        </w:rPr>
        <w:t xml:space="preserve">. In </w:t>
      </w:r>
      <w:r>
        <w:rPr>
          <w:rFonts w:ascii="Times New Roman" w:hAnsi="Times New Roman" w:cs="Times New Roman"/>
          <w:i/>
          <w:color w:val="403152" w:themeColor="accent4" w:themeShade="80"/>
          <w:sz w:val="24"/>
          <w:szCs w:val="24"/>
        </w:rPr>
        <w:t>Schiller</w:t>
      </w:r>
      <w:r>
        <w:rPr>
          <w:rFonts w:ascii="Times New Roman" w:hAnsi="Times New Roman" w:cs="Times New Roman"/>
          <w:color w:val="403152" w:themeColor="accent4" w:themeShade="80"/>
          <w:sz w:val="24"/>
          <w:szCs w:val="24"/>
        </w:rPr>
        <w:t xml:space="preserve">, </w:t>
      </w:r>
      <w:r w:rsidRPr="00E519DB">
        <w:rPr>
          <w:rFonts w:ascii="Times New Roman" w:hAnsi="Times New Roman" w:cs="Times New Roman"/>
          <w:color w:val="403152" w:themeColor="accent4" w:themeShade="80"/>
          <w:sz w:val="24"/>
          <w:szCs w:val="24"/>
        </w:rPr>
        <w:t>the only writing that the plaintiffs were able to point to did not expressly state that the disputed works were to be made for hire, nor was it signed by the plaintiffs, nor did it even confirm a pre-creation agreement, having been executed over five years after the creation of the disputed works.</w:t>
      </w:r>
      <w:r>
        <w:rPr>
          <w:rFonts w:ascii="Times New Roman" w:hAnsi="Times New Roman" w:cs="Times New Roman"/>
          <w:color w:val="403152" w:themeColor="accent4" w:themeShade="80"/>
          <w:sz w:val="24"/>
          <w:szCs w:val="24"/>
        </w:rPr>
        <w:t xml:space="preserve"> </w:t>
      </w:r>
      <w:r w:rsidR="00965EFF" w:rsidRPr="00427A13">
        <w:rPr>
          <w:rFonts w:ascii="Times New Roman" w:hAnsi="Times New Roman" w:cs="Times New Roman"/>
          <w:i/>
          <w:color w:val="403152" w:themeColor="accent4" w:themeShade="80"/>
          <w:sz w:val="24"/>
          <w:szCs w:val="24"/>
        </w:rPr>
        <w:t>See</w:t>
      </w:r>
      <w:r w:rsidR="00965EFF">
        <w:rPr>
          <w:rFonts w:ascii="Times New Roman" w:hAnsi="Times New Roman" w:cs="Times New Roman"/>
          <w:color w:val="403152" w:themeColor="accent4" w:themeShade="80"/>
          <w:sz w:val="24"/>
          <w:szCs w:val="24"/>
        </w:rPr>
        <w:t xml:space="preserve"> </w:t>
      </w:r>
      <w:r w:rsidR="00965EFF">
        <w:rPr>
          <w:rFonts w:ascii="Times New Roman" w:hAnsi="Times New Roman" w:cs="Times New Roman"/>
          <w:i/>
          <w:color w:val="403152" w:themeColor="accent4" w:themeShade="80"/>
          <w:sz w:val="24"/>
          <w:szCs w:val="24"/>
        </w:rPr>
        <w:t>Schiller &amp; Schmidt,</w:t>
      </w:r>
      <w:r w:rsidR="0055279B">
        <w:rPr>
          <w:rFonts w:ascii="Times New Roman" w:hAnsi="Times New Roman" w:cs="Times New Roman"/>
          <w:color w:val="403152" w:themeColor="accent4" w:themeShade="80"/>
          <w:sz w:val="24"/>
          <w:szCs w:val="24"/>
        </w:rPr>
        <w:t xml:space="preserve"> 96</w:t>
      </w:r>
      <w:r w:rsidR="00965EFF">
        <w:rPr>
          <w:rFonts w:ascii="Times New Roman" w:hAnsi="Times New Roman" w:cs="Times New Roman"/>
          <w:color w:val="403152" w:themeColor="accent4" w:themeShade="80"/>
          <w:sz w:val="24"/>
          <w:szCs w:val="24"/>
        </w:rPr>
        <w:t>9 F.2d</w:t>
      </w:r>
      <w:r w:rsidR="00965EFF" w:rsidRPr="00965EFF">
        <w:rPr>
          <w:rFonts w:ascii="Times New Roman" w:hAnsi="Times New Roman" w:cs="Times New Roman"/>
          <w:color w:val="403152" w:themeColor="accent4" w:themeShade="80"/>
          <w:sz w:val="24"/>
          <w:szCs w:val="24"/>
        </w:rPr>
        <w:t xml:space="preserve">. </w:t>
      </w:r>
      <w:r>
        <w:rPr>
          <w:rFonts w:ascii="Times New Roman" w:hAnsi="Times New Roman" w:cs="Times New Roman"/>
          <w:color w:val="403152" w:themeColor="accent4" w:themeShade="80"/>
          <w:sz w:val="24"/>
          <w:szCs w:val="24"/>
        </w:rPr>
        <w:t xml:space="preserve">As </w:t>
      </w:r>
      <w:r w:rsidR="00B03722">
        <w:rPr>
          <w:rFonts w:ascii="Times New Roman" w:hAnsi="Times New Roman" w:cs="Times New Roman"/>
          <w:color w:val="403152" w:themeColor="accent4" w:themeShade="80"/>
          <w:sz w:val="24"/>
          <w:szCs w:val="24"/>
        </w:rPr>
        <w:t xml:space="preserve">contrasted with </w:t>
      </w:r>
      <w:r>
        <w:rPr>
          <w:rFonts w:ascii="Times New Roman" w:hAnsi="Times New Roman" w:cs="Times New Roman"/>
          <w:color w:val="403152" w:themeColor="accent4" w:themeShade="80"/>
          <w:sz w:val="24"/>
          <w:szCs w:val="24"/>
        </w:rPr>
        <w:t xml:space="preserve">the instant case, the written agreement between OGS and Lime expressly stated that “Anticipatory Repudiation” was </w:t>
      </w:r>
      <w:r w:rsidR="00B03722">
        <w:rPr>
          <w:rFonts w:ascii="Times New Roman" w:hAnsi="Times New Roman" w:cs="Times New Roman"/>
          <w:color w:val="403152" w:themeColor="accent4" w:themeShade="80"/>
          <w:sz w:val="24"/>
          <w:szCs w:val="24"/>
        </w:rPr>
        <w:t>to be made for hire; the written agreement</w:t>
      </w:r>
      <w:r>
        <w:rPr>
          <w:rFonts w:ascii="Times New Roman" w:hAnsi="Times New Roman" w:cs="Times New Roman"/>
          <w:color w:val="403152" w:themeColor="accent4" w:themeShade="80"/>
          <w:sz w:val="24"/>
          <w:szCs w:val="24"/>
        </w:rPr>
        <w:t xml:space="preserve"> was signed by both parties</w:t>
      </w:r>
      <w:r w:rsidR="00B03722">
        <w:rPr>
          <w:rFonts w:ascii="Times New Roman" w:hAnsi="Times New Roman" w:cs="Times New Roman"/>
          <w:color w:val="403152" w:themeColor="accent4" w:themeShade="80"/>
          <w:sz w:val="24"/>
          <w:szCs w:val="24"/>
        </w:rPr>
        <w:t>;</w:t>
      </w:r>
      <w:r>
        <w:rPr>
          <w:rFonts w:ascii="Times New Roman" w:hAnsi="Times New Roman" w:cs="Times New Roman"/>
          <w:color w:val="403152" w:themeColor="accent4" w:themeShade="80"/>
          <w:sz w:val="24"/>
          <w:szCs w:val="24"/>
        </w:rPr>
        <w:t xml:space="preserve"> and it was signed mere days after an undisputed pre-creation oral agreement between Lime and Nelson. These diff</w:t>
      </w:r>
      <w:r w:rsidR="00B03722">
        <w:rPr>
          <w:rFonts w:ascii="Times New Roman" w:hAnsi="Times New Roman" w:cs="Times New Roman"/>
          <w:color w:val="403152" w:themeColor="accent4" w:themeShade="80"/>
          <w:sz w:val="24"/>
          <w:szCs w:val="24"/>
        </w:rPr>
        <w:t xml:space="preserve">erences are significant because the </w:t>
      </w:r>
      <w:r w:rsidR="00B03722">
        <w:rPr>
          <w:rFonts w:ascii="Times New Roman" w:hAnsi="Times New Roman" w:cs="Times New Roman"/>
          <w:i/>
          <w:color w:val="403152" w:themeColor="accent4" w:themeShade="80"/>
          <w:sz w:val="24"/>
          <w:szCs w:val="24"/>
        </w:rPr>
        <w:t>Schiller</w:t>
      </w:r>
      <w:r w:rsidR="00B03722">
        <w:rPr>
          <w:rFonts w:ascii="Times New Roman" w:hAnsi="Times New Roman" w:cs="Times New Roman"/>
          <w:color w:val="403152" w:themeColor="accent4" w:themeShade="80"/>
          <w:sz w:val="24"/>
          <w:szCs w:val="24"/>
        </w:rPr>
        <w:t xml:space="preserve"> opinion, that the signed writing had to precede creation of the work, was not based on the same type of conspicuous signed writing as exists between OGS and Lime.</w:t>
      </w:r>
    </w:p>
    <w:p w14:paraId="30DB11F0" w14:textId="77777777" w:rsidR="00D01ACE" w:rsidRDefault="001B5A70" w:rsidP="00D4002B">
      <w:pPr>
        <w:spacing w:line="480" w:lineRule="auto"/>
        <w:ind w:firstLine="720"/>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There</w:t>
      </w:r>
      <w:r w:rsidR="00D01ACE" w:rsidRPr="00E519DB">
        <w:rPr>
          <w:rFonts w:ascii="Times New Roman" w:hAnsi="Times New Roman" w:cs="Times New Roman"/>
          <w:color w:val="403152" w:themeColor="accent4" w:themeShade="80"/>
          <w:sz w:val="24"/>
          <w:szCs w:val="24"/>
        </w:rPr>
        <w:t xml:space="preserve"> have been a f</w:t>
      </w:r>
      <w:r w:rsidRPr="00E519DB">
        <w:rPr>
          <w:rFonts w:ascii="Times New Roman" w:hAnsi="Times New Roman" w:cs="Times New Roman"/>
          <w:color w:val="403152" w:themeColor="accent4" w:themeShade="80"/>
          <w:sz w:val="24"/>
          <w:szCs w:val="24"/>
        </w:rPr>
        <w:t>ew cases from the Second Circuit</w:t>
      </w:r>
      <w:r w:rsidR="003577D7">
        <w:rPr>
          <w:rFonts w:ascii="Times New Roman" w:hAnsi="Times New Roman" w:cs="Times New Roman"/>
          <w:color w:val="403152" w:themeColor="accent4" w:themeShade="80"/>
          <w:sz w:val="24"/>
          <w:szCs w:val="24"/>
        </w:rPr>
        <w:t xml:space="preserve"> that have held copyrighted materials to not be </w:t>
      </w:r>
      <w:r w:rsidR="003577D7" w:rsidRPr="00101358">
        <w:rPr>
          <w:rFonts w:ascii="Times New Roman" w:hAnsi="Times New Roman" w:cs="Times New Roman"/>
          <w:color w:val="403152" w:themeColor="accent4" w:themeShade="80"/>
          <w:sz w:val="24"/>
          <w:szCs w:val="24"/>
        </w:rPr>
        <w:t>works made for hire</w:t>
      </w:r>
      <w:r w:rsidRPr="00101358">
        <w:rPr>
          <w:rFonts w:ascii="Times New Roman" w:hAnsi="Times New Roman" w:cs="Times New Roman"/>
          <w:color w:val="403152" w:themeColor="accent4" w:themeShade="80"/>
          <w:sz w:val="24"/>
          <w:szCs w:val="24"/>
        </w:rPr>
        <w:t xml:space="preserve"> </w:t>
      </w:r>
      <w:r w:rsidR="003577D7" w:rsidRPr="00101358">
        <w:rPr>
          <w:rFonts w:ascii="Times New Roman" w:hAnsi="Times New Roman" w:cs="Times New Roman"/>
          <w:color w:val="403152" w:themeColor="accent4" w:themeShade="80"/>
          <w:sz w:val="24"/>
          <w:szCs w:val="24"/>
        </w:rPr>
        <w:t xml:space="preserve">where the parties </w:t>
      </w:r>
      <w:r w:rsidR="00B03722" w:rsidRPr="00101358">
        <w:rPr>
          <w:rFonts w:ascii="Times New Roman" w:hAnsi="Times New Roman" w:cs="Times New Roman"/>
          <w:color w:val="403152" w:themeColor="accent4" w:themeShade="80"/>
          <w:sz w:val="24"/>
          <w:szCs w:val="24"/>
        </w:rPr>
        <w:t>did not have a sufficient</w:t>
      </w:r>
      <w:r w:rsidRPr="00101358">
        <w:rPr>
          <w:rFonts w:ascii="Times New Roman" w:hAnsi="Times New Roman" w:cs="Times New Roman"/>
          <w:color w:val="403152" w:themeColor="accent4" w:themeShade="80"/>
          <w:sz w:val="24"/>
          <w:szCs w:val="24"/>
        </w:rPr>
        <w:t xml:space="preserve"> signed written instrument</w:t>
      </w:r>
      <w:r w:rsidR="003577D7" w:rsidRPr="00101358">
        <w:rPr>
          <w:rFonts w:ascii="Times New Roman" w:hAnsi="Times New Roman" w:cs="Times New Roman"/>
          <w:color w:val="403152" w:themeColor="accent4" w:themeShade="80"/>
          <w:sz w:val="24"/>
          <w:szCs w:val="24"/>
        </w:rPr>
        <w:t>; m</w:t>
      </w:r>
      <w:r w:rsidRPr="00101358">
        <w:rPr>
          <w:rFonts w:ascii="Times New Roman" w:hAnsi="Times New Roman" w:cs="Times New Roman"/>
          <w:color w:val="403152" w:themeColor="accent4" w:themeShade="80"/>
          <w:sz w:val="24"/>
          <w:szCs w:val="24"/>
        </w:rPr>
        <w:t xml:space="preserve">ost of </w:t>
      </w:r>
      <w:r w:rsidR="003577D7" w:rsidRPr="00101358">
        <w:rPr>
          <w:rFonts w:ascii="Times New Roman" w:hAnsi="Times New Roman" w:cs="Times New Roman"/>
          <w:color w:val="403152" w:themeColor="accent4" w:themeShade="80"/>
          <w:sz w:val="24"/>
          <w:szCs w:val="24"/>
        </w:rPr>
        <w:t>them</w:t>
      </w:r>
      <w:r w:rsidRPr="00101358">
        <w:rPr>
          <w:rFonts w:ascii="Times New Roman" w:hAnsi="Times New Roman" w:cs="Times New Roman"/>
          <w:color w:val="403152" w:themeColor="accent4" w:themeShade="80"/>
          <w:sz w:val="24"/>
          <w:szCs w:val="24"/>
        </w:rPr>
        <w:t xml:space="preserve"> cite</w:t>
      </w:r>
      <w:r w:rsidRPr="00E519DB">
        <w:rPr>
          <w:rFonts w:ascii="Times New Roman" w:hAnsi="Times New Roman" w:cs="Times New Roman"/>
          <w:color w:val="403152" w:themeColor="accent4" w:themeShade="80"/>
          <w:sz w:val="24"/>
          <w:szCs w:val="24"/>
        </w:rPr>
        <w:t xml:space="preserve"> to both </w:t>
      </w:r>
      <w:r w:rsidRPr="00E519DB">
        <w:rPr>
          <w:rFonts w:ascii="Times New Roman" w:hAnsi="Times New Roman" w:cs="Times New Roman"/>
          <w:i/>
          <w:color w:val="403152" w:themeColor="accent4" w:themeShade="80"/>
          <w:sz w:val="24"/>
          <w:szCs w:val="24"/>
        </w:rPr>
        <w:t>Schiller &amp; Schmidt</w:t>
      </w:r>
      <w:r w:rsidRPr="00E519DB">
        <w:rPr>
          <w:rFonts w:ascii="Times New Roman" w:hAnsi="Times New Roman" w:cs="Times New Roman"/>
          <w:color w:val="403152" w:themeColor="accent4" w:themeShade="80"/>
          <w:sz w:val="24"/>
          <w:szCs w:val="24"/>
        </w:rPr>
        <w:t xml:space="preserve"> from the Seventh Circuit and to</w:t>
      </w:r>
      <w:r w:rsidR="00685AD9" w:rsidRPr="00E519DB">
        <w:rPr>
          <w:rFonts w:ascii="Times New Roman" w:hAnsi="Times New Roman" w:cs="Times New Roman"/>
          <w:color w:val="403152" w:themeColor="accent4" w:themeShade="80"/>
          <w:sz w:val="24"/>
          <w:szCs w:val="24"/>
        </w:rPr>
        <w:t xml:space="preserve"> </w:t>
      </w:r>
      <w:r w:rsidR="00685AD9" w:rsidRPr="00E519DB">
        <w:rPr>
          <w:rFonts w:ascii="Times New Roman" w:hAnsi="Times New Roman" w:cs="Times New Roman"/>
          <w:i/>
          <w:color w:val="403152" w:themeColor="accent4" w:themeShade="80"/>
          <w:sz w:val="24"/>
          <w:szCs w:val="24"/>
        </w:rPr>
        <w:t>Playbo</w:t>
      </w:r>
      <w:r w:rsidRPr="00E519DB">
        <w:rPr>
          <w:rFonts w:ascii="Times New Roman" w:hAnsi="Times New Roman" w:cs="Times New Roman"/>
          <w:i/>
          <w:color w:val="403152" w:themeColor="accent4" w:themeShade="80"/>
          <w:sz w:val="24"/>
          <w:szCs w:val="24"/>
        </w:rPr>
        <w:t>y</w:t>
      </w:r>
      <w:r w:rsidRPr="00E519DB">
        <w:rPr>
          <w:rFonts w:ascii="Times New Roman" w:hAnsi="Times New Roman" w:cs="Times New Roman"/>
          <w:color w:val="403152" w:themeColor="accent4" w:themeShade="80"/>
          <w:sz w:val="24"/>
          <w:szCs w:val="24"/>
        </w:rPr>
        <w:t xml:space="preserve"> from the Second Circuit</w:t>
      </w:r>
      <w:r w:rsidRPr="00E519DB">
        <w:rPr>
          <w:rFonts w:ascii="Times New Roman" w:hAnsi="Times New Roman" w:cs="Times New Roman"/>
          <w:i/>
          <w:color w:val="403152" w:themeColor="accent4" w:themeShade="80"/>
          <w:sz w:val="24"/>
          <w:szCs w:val="24"/>
        </w:rPr>
        <w:t xml:space="preserve">, </w:t>
      </w:r>
      <w:r w:rsidRPr="00E519DB">
        <w:rPr>
          <w:rFonts w:ascii="Times New Roman" w:hAnsi="Times New Roman" w:cs="Times New Roman"/>
          <w:color w:val="403152" w:themeColor="accent4" w:themeShade="80"/>
          <w:sz w:val="24"/>
          <w:szCs w:val="24"/>
        </w:rPr>
        <w:t>w</w:t>
      </w:r>
      <w:r w:rsidR="00685AD9" w:rsidRPr="00E519DB">
        <w:rPr>
          <w:rFonts w:ascii="Times New Roman" w:hAnsi="Times New Roman" w:cs="Times New Roman"/>
          <w:color w:val="403152" w:themeColor="accent4" w:themeShade="80"/>
          <w:sz w:val="24"/>
          <w:szCs w:val="24"/>
        </w:rPr>
        <w:t xml:space="preserve">here the opinion states the writing must “confirm a prior agreement, either </w:t>
      </w:r>
      <w:r w:rsidR="00685AD9" w:rsidRPr="00427A13">
        <w:rPr>
          <w:rFonts w:ascii="Times New Roman" w:hAnsi="Times New Roman" w:cs="Times New Roman"/>
          <w:color w:val="403152" w:themeColor="accent4" w:themeShade="80"/>
          <w:sz w:val="24"/>
          <w:szCs w:val="24"/>
        </w:rPr>
        <w:t xml:space="preserve">explicit or implicit, made before the creation of the work.” </w:t>
      </w:r>
      <w:bookmarkStart w:id="41" w:name="CITRUS_BOOKMARK46"/>
      <w:r w:rsidR="0055279B" w:rsidRPr="00427A13">
        <w:rPr>
          <w:rFonts w:ascii="Times New Roman" w:hAnsi="Times New Roman" w:cs="Times New Roman"/>
          <w:i/>
          <w:color w:val="403152" w:themeColor="accent4" w:themeShade="80"/>
          <w:sz w:val="24"/>
          <w:szCs w:val="24"/>
        </w:rPr>
        <w:t>Playboy Enters.</w:t>
      </w:r>
      <w:r w:rsidR="0055279B" w:rsidRPr="00427A13">
        <w:rPr>
          <w:rFonts w:ascii="Times New Roman" w:hAnsi="Times New Roman" w:cs="Times New Roman"/>
          <w:color w:val="403152" w:themeColor="accent4" w:themeShade="80"/>
          <w:sz w:val="24"/>
          <w:szCs w:val="24"/>
        </w:rPr>
        <w:t>, 53 F.3d at 559</w:t>
      </w:r>
      <w:bookmarkEnd w:id="41"/>
      <w:r w:rsidR="00122A87" w:rsidRPr="00427A13">
        <w:rPr>
          <w:rFonts w:ascii="Times New Roman" w:hAnsi="Times New Roman" w:cs="Times New Roman"/>
          <w:color w:val="403152" w:themeColor="accent4" w:themeShade="80"/>
          <w:sz w:val="24"/>
          <w:szCs w:val="24"/>
        </w:rPr>
        <w:t>;</w:t>
      </w:r>
      <w:r w:rsidRPr="00427A13">
        <w:rPr>
          <w:rFonts w:ascii="Times New Roman" w:hAnsi="Times New Roman" w:cs="Times New Roman"/>
          <w:color w:val="403152" w:themeColor="accent4" w:themeShade="80"/>
          <w:sz w:val="24"/>
          <w:szCs w:val="24"/>
        </w:rPr>
        <w:t xml:space="preserve"> </w:t>
      </w:r>
      <w:bookmarkStart w:id="42" w:name="CITRUS_BOOKMARK56"/>
      <w:r w:rsidR="00427A13" w:rsidRPr="00427A13">
        <w:rPr>
          <w:rFonts w:ascii="Times New Roman" w:hAnsi="Times New Roman" w:cs="Times New Roman"/>
          <w:i/>
          <w:color w:val="403152" w:themeColor="accent4" w:themeShade="80"/>
          <w:sz w:val="24"/>
          <w:szCs w:val="24"/>
        </w:rPr>
        <w:t>108 Degrees, L.L.C. v. Merrimack Golf Club, Inc.</w:t>
      </w:r>
      <w:r w:rsidR="00427A13" w:rsidRPr="00427A13">
        <w:rPr>
          <w:rFonts w:ascii="Times New Roman" w:hAnsi="Times New Roman" w:cs="Times New Roman"/>
          <w:color w:val="403152" w:themeColor="accent4" w:themeShade="80"/>
          <w:sz w:val="24"/>
          <w:szCs w:val="24"/>
        </w:rPr>
        <w:t>, No. 09-cv-298-JL, 2010 U.S. Dist. LEXIS 28560, at *8 (D.N.H. 2010)</w:t>
      </w:r>
      <w:bookmarkEnd w:id="42"/>
      <w:r w:rsidRPr="00427A13">
        <w:rPr>
          <w:rFonts w:ascii="Times New Roman" w:hAnsi="Times New Roman" w:cs="Times New Roman"/>
          <w:color w:val="403152" w:themeColor="accent4" w:themeShade="80"/>
          <w:sz w:val="24"/>
          <w:szCs w:val="24"/>
        </w:rPr>
        <w:t>.</w:t>
      </w:r>
      <w:r w:rsidR="003577D7">
        <w:rPr>
          <w:rFonts w:ascii="Times New Roman" w:hAnsi="Times New Roman" w:cs="Times New Roman"/>
          <w:color w:val="403152" w:themeColor="accent4" w:themeShade="80"/>
          <w:sz w:val="24"/>
          <w:szCs w:val="24"/>
        </w:rPr>
        <w:t xml:space="preserve"> These holdings are consistent with the interpretation of </w:t>
      </w:r>
      <w:bookmarkStart w:id="43" w:name="CITRUS_BOOKMARK1000000047"/>
      <w:r w:rsidR="003577D7">
        <w:rPr>
          <w:rFonts w:ascii="Times New Roman" w:hAnsi="Times New Roman" w:cs="Times New Roman"/>
          <w:color w:val="403152" w:themeColor="accent4" w:themeShade="80"/>
          <w:sz w:val="24"/>
          <w:szCs w:val="24"/>
        </w:rPr>
        <w:t>§ 101(2)</w:t>
      </w:r>
      <w:bookmarkEnd w:id="43"/>
      <w:r w:rsidR="003577D7">
        <w:rPr>
          <w:rFonts w:ascii="Times New Roman" w:hAnsi="Times New Roman" w:cs="Times New Roman"/>
          <w:color w:val="403152" w:themeColor="accent4" w:themeShade="80"/>
          <w:sz w:val="24"/>
          <w:szCs w:val="24"/>
        </w:rPr>
        <w:t xml:space="preserve"> that supports OGS’s copyright ownership of “Anticipatory Repudiation.”</w:t>
      </w:r>
    </w:p>
    <w:p w14:paraId="5F4BFC00" w14:textId="77777777" w:rsidR="00B03722" w:rsidRDefault="001B5A70" w:rsidP="004935CF">
      <w:pPr>
        <w:spacing w:line="480" w:lineRule="auto"/>
        <w:ind w:firstLine="720"/>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 xml:space="preserve">In addition to </w:t>
      </w:r>
      <w:r w:rsidRPr="00E519DB">
        <w:rPr>
          <w:rFonts w:ascii="Times New Roman" w:hAnsi="Times New Roman" w:cs="Times New Roman"/>
          <w:i/>
          <w:color w:val="403152" w:themeColor="accent4" w:themeShade="80"/>
          <w:sz w:val="24"/>
          <w:szCs w:val="24"/>
        </w:rPr>
        <w:t xml:space="preserve">Playboy, </w:t>
      </w:r>
      <w:r w:rsidRPr="00E519DB">
        <w:rPr>
          <w:rFonts w:ascii="Times New Roman" w:hAnsi="Times New Roman" w:cs="Times New Roman"/>
          <w:color w:val="403152" w:themeColor="accent4" w:themeShade="80"/>
          <w:sz w:val="24"/>
          <w:szCs w:val="24"/>
        </w:rPr>
        <w:t>a number of o</w:t>
      </w:r>
      <w:r w:rsidR="00080ECB" w:rsidRPr="00E519DB">
        <w:rPr>
          <w:rFonts w:ascii="Times New Roman" w:hAnsi="Times New Roman" w:cs="Times New Roman"/>
          <w:color w:val="403152" w:themeColor="accent4" w:themeShade="80"/>
          <w:sz w:val="24"/>
          <w:szCs w:val="24"/>
        </w:rPr>
        <w:t xml:space="preserve">ther cases </w:t>
      </w:r>
      <w:r w:rsidRPr="00E519DB">
        <w:rPr>
          <w:rFonts w:ascii="Times New Roman" w:hAnsi="Times New Roman" w:cs="Times New Roman"/>
          <w:color w:val="403152" w:themeColor="accent4" w:themeShade="80"/>
          <w:sz w:val="24"/>
          <w:szCs w:val="24"/>
        </w:rPr>
        <w:t>have been more on point in addressing the relevant question</w:t>
      </w:r>
      <w:r w:rsidR="00101358">
        <w:rPr>
          <w:rFonts w:ascii="Times New Roman" w:hAnsi="Times New Roman" w:cs="Times New Roman"/>
          <w:color w:val="403152" w:themeColor="accent4" w:themeShade="80"/>
          <w:sz w:val="24"/>
          <w:szCs w:val="24"/>
        </w:rPr>
        <w:t>, with facts</w:t>
      </w:r>
      <w:r w:rsidR="003577D7">
        <w:rPr>
          <w:rFonts w:ascii="Times New Roman" w:hAnsi="Times New Roman" w:cs="Times New Roman"/>
          <w:color w:val="403152" w:themeColor="accent4" w:themeShade="80"/>
          <w:sz w:val="24"/>
          <w:szCs w:val="24"/>
        </w:rPr>
        <w:t xml:space="preserve"> more </w:t>
      </w:r>
      <w:r w:rsidR="00101358">
        <w:rPr>
          <w:rFonts w:ascii="Times New Roman" w:hAnsi="Times New Roman" w:cs="Times New Roman"/>
          <w:color w:val="403152" w:themeColor="accent4" w:themeShade="80"/>
          <w:sz w:val="24"/>
          <w:szCs w:val="24"/>
        </w:rPr>
        <w:t>comparable</w:t>
      </w:r>
      <w:r w:rsidR="003577D7">
        <w:rPr>
          <w:rFonts w:ascii="Times New Roman" w:hAnsi="Times New Roman" w:cs="Times New Roman"/>
          <w:color w:val="403152" w:themeColor="accent4" w:themeShade="80"/>
          <w:sz w:val="24"/>
          <w:szCs w:val="24"/>
        </w:rPr>
        <w:t xml:space="preserve"> to the instant case </w:t>
      </w:r>
      <w:r w:rsidR="00101358">
        <w:rPr>
          <w:rFonts w:ascii="Times New Roman" w:hAnsi="Times New Roman" w:cs="Times New Roman"/>
          <w:color w:val="403152" w:themeColor="accent4" w:themeShade="80"/>
          <w:sz w:val="24"/>
          <w:szCs w:val="24"/>
        </w:rPr>
        <w:t>because the parties have</w:t>
      </w:r>
      <w:r w:rsidR="00B73988" w:rsidRPr="00E519DB">
        <w:rPr>
          <w:rFonts w:ascii="Times New Roman" w:hAnsi="Times New Roman" w:cs="Times New Roman"/>
          <w:color w:val="403152" w:themeColor="accent4" w:themeShade="80"/>
          <w:sz w:val="24"/>
          <w:szCs w:val="24"/>
        </w:rPr>
        <w:t xml:space="preserve"> an actual signed writing that confirms a pre-creation agreement for a work </w:t>
      </w:r>
      <w:r w:rsidR="00101358">
        <w:rPr>
          <w:rFonts w:ascii="Times New Roman" w:hAnsi="Times New Roman" w:cs="Times New Roman"/>
          <w:color w:val="403152" w:themeColor="accent4" w:themeShade="80"/>
          <w:sz w:val="24"/>
          <w:szCs w:val="24"/>
        </w:rPr>
        <w:t xml:space="preserve">to be considered “made </w:t>
      </w:r>
      <w:r w:rsidR="00101358">
        <w:rPr>
          <w:rFonts w:ascii="Times New Roman" w:hAnsi="Times New Roman" w:cs="Times New Roman"/>
          <w:color w:val="403152" w:themeColor="accent4" w:themeShade="80"/>
          <w:sz w:val="24"/>
          <w:szCs w:val="24"/>
        </w:rPr>
        <w:lastRenderedPageBreak/>
        <w:t>for hire.</w:t>
      </w:r>
      <w:r w:rsidR="00B73988" w:rsidRPr="00E519DB">
        <w:rPr>
          <w:rFonts w:ascii="Times New Roman" w:hAnsi="Times New Roman" w:cs="Times New Roman"/>
          <w:color w:val="403152" w:themeColor="accent4" w:themeShade="80"/>
          <w:sz w:val="24"/>
          <w:szCs w:val="24"/>
        </w:rPr>
        <w:t xml:space="preserve">” </w:t>
      </w:r>
      <w:bookmarkStart w:id="44" w:name="CITRUS_BOOKMARK54"/>
      <w:r w:rsidR="004935CF" w:rsidRPr="00427A13">
        <w:rPr>
          <w:rFonts w:ascii="Times New Roman" w:hAnsi="Times New Roman" w:cs="Times New Roman"/>
          <w:i/>
          <w:color w:val="403152" w:themeColor="accent4" w:themeShade="80"/>
          <w:sz w:val="24"/>
          <w:szCs w:val="24"/>
        </w:rPr>
        <w:t xml:space="preserve">Compaq Computer Corp. v. </w:t>
      </w:r>
      <w:proofErr w:type="spellStart"/>
      <w:r w:rsidR="004935CF" w:rsidRPr="00427A13">
        <w:rPr>
          <w:rFonts w:ascii="Times New Roman" w:hAnsi="Times New Roman" w:cs="Times New Roman"/>
          <w:i/>
          <w:color w:val="403152" w:themeColor="accent4" w:themeShade="80"/>
          <w:sz w:val="24"/>
          <w:szCs w:val="24"/>
        </w:rPr>
        <w:t>Ergonome</w:t>
      </w:r>
      <w:proofErr w:type="spellEnd"/>
      <w:r w:rsidR="004935CF" w:rsidRPr="00427A13">
        <w:rPr>
          <w:rFonts w:ascii="Times New Roman" w:hAnsi="Times New Roman" w:cs="Times New Roman"/>
          <w:i/>
          <w:color w:val="403152" w:themeColor="accent4" w:themeShade="80"/>
          <w:sz w:val="24"/>
          <w:szCs w:val="24"/>
        </w:rPr>
        <w:t xml:space="preserve"> Inc.</w:t>
      </w:r>
      <w:r w:rsidR="004935CF" w:rsidRPr="00427A13">
        <w:rPr>
          <w:rFonts w:ascii="Times New Roman" w:hAnsi="Times New Roman" w:cs="Times New Roman"/>
          <w:color w:val="403152" w:themeColor="accent4" w:themeShade="80"/>
          <w:sz w:val="24"/>
          <w:szCs w:val="24"/>
        </w:rPr>
        <w:t>, 210 F. Supp. 2d 839, 843 (S.D. Tex. 2001)</w:t>
      </w:r>
      <w:bookmarkEnd w:id="44"/>
      <w:r w:rsidR="00101358" w:rsidRPr="00E519DB">
        <w:rPr>
          <w:rFonts w:ascii="Times New Roman" w:hAnsi="Times New Roman" w:cs="Times New Roman"/>
          <w:color w:val="403152" w:themeColor="accent4" w:themeShade="80"/>
          <w:sz w:val="24"/>
          <w:szCs w:val="24"/>
        </w:rPr>
        <w:t xml:space="preserve">; </w:t>
      </w:r>
      <w:bookmarkStart w:id="45" w:name="CITRUS_BOOKMARK49"/>
      <w:r w:rsidR="004935CF" w:rsidRPr="00427A13">
        <w:rPr>
          <w:rFonts w:ascii="Times New Roman" w:hAnsi="Times New Roman" w:cs="Times New Roman"/>
          <w:i/>
          <w:color w:val="403152" w:themeColor="accent4" w:themeShade="80"/>
          <w:sz w:val="24"/>
          <w:szCs w:val="24"/>
        </w:rPr>
        <w:t>TMTV, Corp. v. Mass Prods</w:t>
      </w:r>
      <w:proofErr w:type="gramStart"/>
      <w:r w:rsidR="004935CF" w:rsidRPr="00427A13">
        <w:rPr>
          <w:rFonts w:ascii="Times New Roman" w:hAnsi="Times New Roman" w:cs="Times New Roman"/>
          <w:i/>
          <w:color w:val="403152" w:themeColor="accent4" w:themeShade="80"/>
          <w:sz w:val="24"/>
          <w:szCs w:val="24"/>
        </w:rPr>
        <w:t>.,</w:t>
      </w:r>
      <w:proofErr w:type="gramEnd"/>
      <w:r w:rsidR="004935CF" w:rsidRPr="00427A13">
        <w:rPr>
          <w:rFonts w:ascii="Times New Roman" w:hAnsi="Times New Roman" w:cs="Times New Roman"/>
          <w:i/>
          <w:color w:val="403152" w:themeColor="accent4" w:themeShade="80"/>
          <w:sz w:val="24"/>
          <w:szCs w:val="24"/>
        </w:rPr>
        <w:t xml:space="preserve"> Inc.</w:t>
      </w:r>
      <w:r w:rsidR="004935CF" w:rsidRPr="00427A13">
        <w:rPr>
          <w:rFonts w:ascii="Times New Roman" w:hAnsi="Times New Roman" w:cs="Times New Roman"/>
          <w:color w:val="403152" w:themeColor="accent4" w:themeShade="80"/>
          <w:sz w:val="24"/>
          <w:szCs w:val="24"/>
        </w:rPr>
        <w:t>, 345 F. Supp. 2d 196, 206 (D.P.R. 2004)</w:t>
      </w:r>
      <w:bookmarkEnd w:id="45"/>
      <w:r w:rsidR="00101358" w:rsidRPr="00E519DB">
        <w:rPr>
          <w:rFonts w:ascii="Times New Roman" w:hAnsi="Times New Roman" w:cs="Times New Roman"/>
          <w:color w:val="403152" w:themeColor="accent4" w:themeShade="80"/>
          <w:sz w:val="24"/>
          <w:szCs w:val="24"/>
        </w:rPr>
        <w:t>.</w:t>
      </w:r>
      <w:r w:rsidR="00101358">
        <w:rPr>
          <w:rFonts w:ascii="Times New Roman" w:hAnsi="Times New Roman" w:cs="Times New Roman"/>
          <w:color w:val="403152" w:themeColor="accent4" w:themeShade="80"/>
          <w:sz w:val="24"/>
          <w:szCs w:val="24"/>
        </w:rPr>
        <w:t xml:space="preserve"> T</w:t>
      </w:r>
      <w:r w:rsidR="00B73988" w:rsidRPr="00E519DB">
        <w:rPr>
          <w:rFonts w:ascii="Times New Roman" w:hAnsi="Times New Roman" w:cs="Times New Roman"/>
          <w:color w:val="403152" w:themeColor="accent4" w:themeShade="80"/>
          <w:sz w:val="24"/>
          <w:szCs w:val="24"/>
        </w:rPr>
        <w:t xml:space="preserve">he opinions </w:t>
      </w:r>
      <w:r w:rsidR="00101358">
        <w:rPr>
          <w:rFonts w:ascii="Times New Roman" w:hAnsi="Times New Roman" w:cs="Times New Roman"/>
          <w:color w:val="403152" w:themeColor="accent4" w:themeShade="80"/>
          <w:sz w:val="24"/>
          <w:szCs w:val="24"/>
        </w:rPr>
        <w:t xml:space="preserve">of the cases </w:t>
      </w:r>
      <w:r w:rsidR="00B73988" w:rsidRPr="00E519DB">
        <w:rPr>
          <w:rFonts w:ascii="Times New Roman" w:hAnsi="Times New Roman" w:cs="Times New Roman"/>
          <w:color w:val="403152" w:themeColor="accent4" w:themeShade="80"/>
          <w:sz w:val="24"/>
          <w:szCs w:val="24"/>
        </w:rPr>
        <w:t xml:space="preserve">follow the reasoning outlined above regarding </w:t>
      </w:r>
      <w:r w:rsidR="0082599F" w:rsidRPr="00E519DB">
        <w:rPr>
          <w:rFonts w:ascii="Times New Roman" w:hAnsi="Times New Roman" w:cs="Times New Roman"/>
          <w:color w:val="403152" w:themeColor="accent4" w:themeShade="80"/>
          <w:sz w:val="24"/>
          <w:szCs w:val="24"/>
        </w:rPr>
        <w:t xml:space="preserve">the </w:t>
      </w:r>
      <w:r w:rsidR="003577D7">
        <w:rPr>
          <w:rFonts w:ascii="Times New Roman" w:hAnsi="Times New Roman" w:cs="Times New Roman"/>
          <w:color w:val="403152" w:themeColor="accent4" w:themeShade="80"/>
          <w:sz w:val="24"/>
          <w:szCs w:val="24"/>
        </w:rPr>
        <w:t xml:space="preserve">plain </w:t>
      </w:r>
      <w:r w:rsidR="0082599F" w:rsidRPr="00E519DB">
        <w:rPr>
          <w:rFonts w:ascii="Times New Roman" w:hAnsi="Times New Roman" w:cs="Times New Roman"/>
          <w:color w:val="403152" w:themeColor="accent4" w:themeShade="80"/>
          <w:sz w:val="24"/>
          <w:szCs w:val="24"/>
        </w:rPr>
        <w:t>language of the Cop</w:t>
      </w:r>
      <w:r w:rsidR="003577D7">
        <w:rPr>
          <w:rFonts w:ascii="Times New Roman" w:hAnsi="Times New Roman" w:cs="Times New Roman"/>
          <w:color w:val="403152" w:themeColor="accent4" w:themeShade="80"/>
          <w:sz w:val="24"/>
          <w:szCs w:val="24"/>
        </w:rPr>
        <w:t>yright Act and its legislative history</w:t>
      </w:r>
      <w:r w:rsidR="00101358">
        <w:rPr>
          <w:rFonts w:ascii="Times New Roman" w:hAnsi="Times New Roman" w:cs="Times New Roman"/>
          <w:color w:val="403152" w:themeColor="accent4" w:themeShade="80"/>
          <w:sz w:val="24"/>
          <w:szCs w:val="24"/>
        </w:rPr>
        <w:t xml:space="preserve">, interpreting a “work made for hire” as merely requiring a prior agreement, before the creation of the work, which must be confirmed later with a signed written </w:t>
      </w:r>
      <w:r w:rsidR="00101358" w:rsidRPr="003E05B4">
        <w:rPr>
          <w:rFonts w:ascii="Times New Roman" w:hAnsi="Times New Roman" w:cs="Times New Roman"/>
          <w:color w:val="403152" w:themeColor="accent4" w:themeShade="80"/>
          <w:sz w:val="24"/>
          <w:szCs w:val="24"/>
        </w:rPr>
        <w:t>agreement</w:t>
      </w:r>
      <w:r w:rsidR="0082599F" w:rsidRPr="003E05B4">
        <w:rPr>
          <w:rFonts w:ascii="Times New Roman" w:hAnsi="Times New Roman" w:cs="Times New Roman"/>
          <w:color w:val="403152" w:themeColor="accent4" w:themeShade="80"/>
          <w:sz w:val="24"/>
          <w:szCs w:val="24"/>
        </w:rPr>
        <w:t>.</w:t>
      </w:r>
      <w:r w:rsidR="00C1088C" w:rsidRPr="003E05B4">
        <w:rPr>
          <w:rFonts w:ascii="Times New Roman" w:hAnsi="Times New Roman" w:cs="Times New Roman"/>
          <w:color w:val="403152" w:themeColor="accent4" w:themeShade="80"/>
          <w:sz w:val="24"/>
          <w:szCs w:val="24"/>
        </w:rPr>
        <w:t xml:space="preserve"> </w:t>
      </w:r>
      <w:bookmarkStart w:id="46" w:name="CITRUS_BOOKMARK50"/>
      <w:r w:rsidR="00C1088C" w:rsidRPr="003E05B4">
        <w:rPr>
          <w:rFonts w:ascii="Times New Roman" w:hAnsi="Times New Roman" w:cs="Times New Roman"/>
          <w:i/>
          <w:color w:val="403152" w:themeColor="accent4" w:themeShade="80"/>
          <w:sz w:val="24"/>
          <w:szCs w:val="24"/>
        </w:rPr>
        <w:t>Id</w:t>
      </w:r>
      <w:r w:rsidR="00427A13" w:rsidRPr="003E05B4">
        <w:rPr>
          <w:rFonts w:ascii="Times New Roman" w:hAnsi="Times New Roman" w:cs="Times New Roman"/>
          <w:i/>
          <w:color w:val="403152" w:themeColor="accent4" w:themeShade="80"/>
          <w:sz w:val="24"/>
          <w:szCs w:val="24"/>
        </w:rPr>
        <w:t>.</w:t>
      </w:r>
      <w:bookmarkEnd w:id="46"/>
      <w:r w:rsidR="00427A13" w:rsidRPr="003E05B4">
        <w:rPr>
          <w:rFonts w:ascii="Times New Roman" w:hAnsi="Times New Roman" w:cs="Times New Roman"/>
          <w:i/>
          <w:color w:val="403152" w:themeColor="accent4" w:themeShade="80"/>
          <w:sz w:val="24"/>
          <w:szCs w:val="24"/>
        </w:rPr>
        <w:t xml:space="preserve"> </w:t>
      </w:r>
      <w:r w:rsidR="00101358" w:rsidRPr="003E05B4">
        <w:rPr>
          <w:rFonts w:ascii="Times New Roman" w:hAnsi="Times New Roman" w:cs="Times New Roman"/>
          <w:color w:val="403152" w:themeColor="accent4" w:themeShade="80"/>
          <w:sz w:val="24"/>
          <w:szCs w:val="24"/>
        </w:rPr>
        <w:t>When</w:t>
      </w:r>
      <w:r w:rsidR="00101358">
        <w:rPr>
          <w:rFonts w:ascii="Times New Roman" w:hAnsi="Times New Roman" w:cs="Times New Roman"/>
          <w:color w:val="403152" w:themeColor="accent4" w:themeShade="80"/>
          <w:sz w:val="24"/>
          <w:szCs w:val="24"/>
        </w:rPr>
        <w:t xml:space="preserve"> </w:t>
      </w:r>
      <w:r w:rsidR="00791BCB">
        <w:rPr>
          <w:rFonts w:ascii="Times New Roman" w:hAnsi="Times New Roman" w:cs="Times New Roman"/>
          <w:color w:val="403152" w:themeColor="accent4" w:themeShade="80"/>
          <w:sz w:val="24"/>
          <w:szCs w:val="24"/>
        </w:rPr>
        <w:t>other jurisdictions</w:t>
      </w:r>
      <w:r w:rsidR="00101358">
        <w:rPr>
          <w:rFonts w:ascii="Times New Roman" w:hAnsi="Times New Roman" w:cs="Times New Roman"/>
          <w:color w:val="403152" w:themeColor="accent4" w:themeShade="80"/>
          <w:sz w:val="24"/>
          <w:szCs w:val="24"/>
        </w:rPr>
        <w:t xml:space="preserve"> </w:t>
      </w:r>
      <w:r w:rsidR="00791BCB">
        <w:rPr>
          <w:rFonts w:ascii="Times New Roman" w:hAnsi="Times New Roman" w:cs="Times New Roman"/>
          <w:color w:val="403152" w:themeColor="accent4" w:themeShade="80"/>
          <w:sz w:val="24"/>
          <w:szCs w:val="24"/>
        </w:rPr>
        <w:t>have actually been faced with a written agreement that confirms a prior oral agreement, a fact pattern that undisputedly exists here between OGS and Lime with regards to “Anticipatory Repudiation,” they consistently determine the copyrighted material to be a work made for hire. The Court of Moot must maintain this consistency and uphold “Anticipatory Repudiation” to be a work made for hire under the Copyright Act.</w:t>
      </w:r>
    </w:p>
    <w:p w14:paraId="010F87B6" w14:textId="77777777" w:rsidR="00D1354C" w:rsidRPr="00E519DB" w:rsidRDefault="00D1354C" w:rsidP="00596F35">
      <w:pPr>
        <w:spacing w:line="480" w:lineRule="auto"/>
        <w:contextualSpacing/>
        <w:jc w:val="center"/>
        <w:rPr>
          <w:rFonts w:ascii="Times New Roman" w:hAnsi="Times New Roman" w:cs="Times New Roman"/>
          <w:color w:val="403152" w:themeColor="accent4" w:themeShade="80"/>
          <w:sz w:val="24"/>
          <w:szCs w:val="24"/>
          <w:u w:val="single"/>
        </w:rPr>
      </w:pPr>
      <w:r w:rsidRPr="00E519DB">
        <w:rPr>
          <w:rFonts w:ascii="Times New Roman" w:hAnsi="Times New Roman" w:cs="Times New Roman"/>
          <w:color w:val="403152" w:themeColor="accent4" w:themeShade="80"/>
          <w:sz w:val="24"/>
          <w:szCs w:val="24"/>
          <w:u w:val="single"/>
        </w:rPr>
        <w:t>CONCLUSION</w:t>
      </w:r>
    </w:p>
    <w:p w14:paraId="4BD60052" w14:textId="77777777" w:rsidR="00B73988" w:rsidRPr="00E519DB" w:rsidRDefault="00B73988" w:rsidP="00B73988">
      <w:pPr>
        <w:spacing w:line="480" w:lineRule="auto"/>
        <w:ind w:firstLine="720"/>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 xml:space="preserve">Defendants violated </w:t>
      </w:r>
      <w:r w:rsidR="00FA663F">
        <w:rPr>
          <w:rFonts w:ascii="Times New Roman" w:hAnsi="Times New Roman" w:cs="Times New Roman"/>
          <w:color w:val="403152" w:themeColor="accent4" w:themeShade="80"/>
          <w:sz w:val="24"/>
          <w:szCs w:val="24"/>
        </w:rPr>
        <w:t>the Copyright Act</w:t>
      </w:r>
      <w:r w:rsidRPr="00E519DB">
        <w:rPr>
          <w:rFonts w:ascii="Times New Roman" w:hAnsi="Times New Roman" w:cs="Times New Roman"/>
          <w:color w:val="403152" w:themeColor="accent4" w:themeShade="80"/>
          <w:sz w:val="24"/>
          <w:szCs w:val="24"/>
        </w:rPr>
        <w:t xml:space="preserve"> by producing and performing the screenplay entitled “The Love Below,” infringing </w:t>
      </w:r>
      <w:r w:rsidR="00FA663F">
        <w:rPr>
          <w:rFonts w:ascii="Times New Roman" w:hAnsi="Times New Roman" w:cs="Times New Roman"/>
          <w:color w:val="403152" w:themeColor="accent4" w:themeShade="80"/>
          <w:sz w:val="24"/>
          <w:szCs w:val="24"/>
        </w:rPr>
        <w:t>OGS’s</w:t>
      </w:r>
      <w:r w:rsidRPr="00E519DB">
        <w:rPr>
          <w:rFonts w:ascii="Times New Roman" w:hAnsi="Times New Roman" w:cs="Times New Roman"/>
          <w:color w:val="403152" w:themeColor="accent4" w:themeShade="80"/>
          <w:sz w:val="24"/>
          <w:szCs w:val="24"/>
        </w:rPr>
        <w:t xml:space="preserve"> copyright. </w:t>
      </w:r>
      <w:r w:rsidR="00FA663F">
        <w:rPr>
          <w:rFonts w:ascii="Times New Roman" w:hAnsi="Times New Roman" w:cs="Times New Roman"/>
          <w:color w:val="403152" w:themeColor="accent4" w:themeShade="80"/>
          <w:sz w:val="24"/>
          <w:szCs w:val="24"/>
        </w:rPr>
        <w:t>OGS</w:t>
      </w:r>
      <w:r w:rsidRPr="00E519DB">
        <w:rPr>
          <w:rFonts w:ascii="Times New Roman" w:hAnsi="Times New Roman" w:cs="Times New Roman"/>
          <w:color w:val="403152" w:themeColor="accent4" w:themeShade="80"/>
          <w:sz w:val="24"/>
          <w:szCs w:val="24"/>
        </w:rPr>
        <w:t xml:space="preserve"> and Lime </w:t>
      </w:r>
      <w:r w:rsidR="00A3733E" w:rsidRPr="00E519DB">
        <w:rPr>
          <w:rFonts w:ascii="Times New Roman" w:hAnsi="Times New Roman" w:cs="Times New Roman"/>
          <w:color w:val="403152" w:themeColor="accent4" w:themeShade="80"/>
          <w:sz w:val="24"/>
          <w:szCs w:val="24"/>
        </w:rPr>
        <w:t xml:space="preserve">had a pre-creation oral agreement that the screenplay was a work made for hire, but </w:t>
      </w:r>
      <w:r w:rsidRPr="00E519DB">
        <w:rPr>
          <w:rFonts w:ascii="Times New Roman" w:hAnsi="Times New Roman" w:cs="Times New Roman"/>
          <w:color w:val="403152" w:themeColor="accent4" w:themeShade="80"/>
          <w:sz w:val="24"/>
          <w:szCs w:val="24"/>
        </w:rPr>
        <w:t xml:space="preserve">did not sign </w:t>
      </w:r>
      <w:r w:rsidR="00A3733E" w:rsidRPr="00E519DB">
        <w:rPr>
          <w:rFonts w:ascii="Times New Roman" w:hAnsi="Times New Roman" w:cs="Times New Roman"/>
          <w:color w:val="403152" w:themeColor="accent4" w:themeShade="80"/>
          <w:sz w:val="24"/>
          <w:szCs w:val="24"/>
        </w:rPr>
        <w:t xml:space="preserve">required </w:t>
      </w:r>
      <w:r w:rsidRPr="00E519DB">
        <w:rPr>
          <w:rFonts w:ascii="Times New Roman" w:hAnsi="Times New Roman" w:cs="Times New Roman"/>
          <w:color w:val="403152" w:themeColor="accent4" w:themeShade="80"/>
          <w:sz w:val="24"/>
          <w:szCs w:val="24"/>
        </w:rPr>
        <w:t>the “work made for hire” written agreement until after Lime’s creation</w:t>
      </w:r>
      <w:r w:rsidR="00A3733E" w:rsidRPr="00E519DB">
        <w:rPr>
          <w:rFonts w:ascii="Times New Roman" w:hAnsi="Times New Roman" w:cs="Times New Roman"/>
          <w:color w:val="403152" w:themeColor="accent4" w:themeShade="80"/>
          <w:sz w:val="24"/>
          <w:szCs w:val="24"/>
        </w:rPr>
        <w:t xml:space="preserve">. For the reasons outlined above, </w:t>
      </w:r>
      <w:r w:rsidR="00027BE9">
        <w:rPr>
          <w:rFonts w:ascii="Times New Roman" w:hAnsi="Times New Roman" w:cs="Times New Roman"/>
          <w:color w:val="403152" w:themeColor="accent4" w:themeShade="80"/>
          <w:sz w:val="24"/>
          <w:szCs w:val="24"/>
        </w:rPr>
        <w:t>according to the</w:t>
      </w:r>
      <w:r w:rsidR="00A3733E" w:rsidRPr="00E519DB">
        <w:rPr>
          <w:rFonts w:ascii="Times New Roman" w:hAnsi="Times New Roman" w:cs="Times New Roman"/>
          <w:color w:val="403152" w:themeColor="accent4" w:themeShade="80"/>
          <w:sz w:val="24"/>
          <w:szCs w:val="24"/>
        </w:rPr>
        <w:t xml:space="preserve"> plain language of the </w:t>
      </w:r>
      <w:r w:rsidR="000547BB">
        <w:rPr>
          <w:rFonts w:ascii="Times New Roman" w:hAnsi="Times New Roman" w:cs="Times New Roman"/>
          <w:color w:val="403152" w:themeColor="accent4" w:themeShade="80"/>
          <w:sz w:val="24"/>
          <w:szCs w:val="24"/>
        </w:rPr>
        <w:t>Copyright Act</w:t>
      </w:r>
      <w:r w:rsidR="00A3733E" w:rsidRPr="00E519DB">
        <w:rPr>
          <w:rFonts w:ascii="Times New Roman" w:hAnsi="Times New Roman" w:cs="Times New Roman"/>
          <w:color w:val="403152" w:themeColor="accent4" w:themeShade="80"/>
          <w:sz w:val="24"/>
          <w:szCs w:val="24"/>
        </w:rPr>
        <w:t xml:space="preserve">, legislative history, and consistent persuasive case law, </w:t>
      </w:r>
      <w:r w:rsidR="0082599F" w:rsidRPr="00E519DB">
        <w:rPr>
          <w:rFonts w:ascii="Times New Roman" w:hAnsi="Times New Roman" w:cs="Times New Roman"/>
          <w:color w:val="403152" w:themeColor="accent4" w:themeShade="80"/>
          <w:sz w:val="24"/>
          <w:szCs w:val="24"/>
        </w:rPr>
        <w:t xml:space="preserve">Defendants’ motion </w:t>
      </w:r>
      <w:r w:rsidR="00FA663F">
        <w:rPr>
          <w:rFonts w:ascii="Times New Roman" w:hAnsi="Times New Roman" w:cs="Times New Roman"/>
          <w:color w:val="403152" w:themeColor="accent4" w:themeShade="80"/>
          <w:sz w:val="24"/>
          <w:szCs w:val="24"/>
        </w:rPr>
        <w:t>for judgment on the pleadings</w:t>
      </w:r>
      <w:r w:rsidR="0082599F" w:rsidRPr="00E519DB">
        <w:rPr>
          <w:rFonts w:ascii="Times New Roman" w:hAnsi="Times New Roman" w:cs="Times New Roman"/>
          <w:color w:val="403152" w:themeColor="accent4" w:themeShade="80"/>
          <w:sz w:val="24"/>
          <w:szCs w:val="24"/>
        </w:rPr>
        <w:t xml:space="preserve"> must be rejected because the requirement </w:t>
      </w:r>
      <w:r w:rsidR="00FA663F">
        <w:rPr>
          <w:rFonts w:ascii="Times New Roman" w:hAnsi="Times New Roman" w:cs="Times New Roman"/>
          <w:color w:val="403152" w:themeColor="accent4" w:themeShade="80"/>
          <w:sz w:val="24"/>
          <w:szCs w:val="24"/>
        </w:rPr>
        <w:t>of a signed written agreement</w:t>
      </w:r>
      <w:r w:rsidR="0082599F" w:rsidRPr="00E519DB">
        <w:rPr>
          <w:rFonts w:ascii="Times New Roman" w:hAnsi="Times New Roman" w:cs="Times New Roman"/>
          <w:color w:val="403152" w:themeColor="accent4" w:themeShade="80"/>
          <w:sz w:val="24"/>
          <w:szCs w:val="24"/>
        </w:rPr>
        <w:t xml:space="preserve"> was met by a post-creation execution of a signed writing that confirmed a pr</w:t>
      </w:r>
      <w:r w:rsidR="00FA663F">
        <w:rPr>
          <w:rFonts w:ascii="Times New Roman" w:hAnsi="Times New Roman" w:cs="Times New Roman"/>
          <w:color w:val="403152" w:themeColor="accent4" w:themeShade="80"/>
          <w:sz w:val="24"/>
          <w:szCs w:val="24"/>
        </w:rPr>
        <w:t xml:space="preserve">ior oral agreement, made before </w:t>
      </w:r>
      <w:r w:rsidR="0082599F" w:rsidRPr="00E519DB">
        <w:rPr>
          <w:rFonts w:ascii="Times New Roman" w:hAnsi="Times New Roman" w:cs="Times New Roman"/>
          <w:color w:val="403152" w:themeColor="accent4" w:themeShade="80"/>
          <w:sz w:val="24"/>
          <w:szCs w:val="24"/>
        </w:rPr>
        <w:t>Lime</w:t>
      </w:r>
      <w:r w:rsidR="00FA663F">
        <w:rPr>
          <w:rFonts w:ascii="Times New Roman" w:hAnsi="Times New Roman" w:cs="Times New Roman"/>
          <w:color w:val="403152" w:themeColor="accent4" w:themeShade="80"/>
          <w:sz w:val="24"/>
          <w:szCs w:val="24"/>
        </w:rPr>
        <w:t xml:space="preserve"> </w:t>
      </w:r>
      <w:r w:rsidR="0082599F" w:rsidRPr="00E519DB">
        <w:rPr>
          <w:rFonts w:ascii="Times New Roman" w:hAnsi="Times New Roman" w:cs="Times New Roman"/>
          <w:color w:val="403152" w:themeColor="accent4" w:themeShade="80"/>
          <w:sz w:val="24"/>
          <w:szCs w:val="24"/>
        </w:rPr>
        <w:t xml:space="preserve">created the screenplay. Defendants do not refute the material fact that there was a prior oral agreement, which makes </w:t>
      </w:r>
      <w:r w:rsidR="00FA663F">
        <w:rPr>
          <w:rFonts w:ascii="Times New Roman" w:hAnsi="Times New Roman" w:cs="Times New Roman"/>
          <w:color w:val="403152" w:themeColor="accent4" w:themeShade="80"/>
          <w:sz w:val="24"/>
          <w:szCs w:val="24"/>
        </w:rPr>
        <w:t>OGS</w:t>
      </w:r>
      <w:r w:rsidR="0082599F" w:rsidRPr="00E519DB">
        <w:rPr>
          <w:rFonts w:ascii="Times New Roman" w:hAnsi="Times New Roman" w:cs="Times New Roman"/>
          <w:color w:val="403152" w:themeColor="accent4" w:themeShade="80"/>
          <w:sz w:val="24"/>
          <w:szCs w:val="24"/>
        </w:rPr>
        <w:t xml:space="preserve"> the author and owner of the copyright to the screenplay.</w:t>
      </w:r>
    </w:p>
    <w:p w14:paraId="6BD73443" w14:textId="77777777" w:rsidR="00D1354C" w:rsidRPr="00E519DB" w:rsidRDefault="00D1354C" w:rsidP="00596F35">
      <w:pPr>
        <w:spacing w:line="480" w:lineRule="auto"/>
        <w:ind w:firstLine="720"/>
        <w:contextualSpacing/>
        <w:rPr>
          <w:rFonts w:ascii="Times New Roman" w:hAnsi="Times New Roman" w:cs="Times New Roman"/>
          <w:color w:val="403152" w:themeColor="accent4" w:themeShade="80"/>
          <w:sz w:val="24"/>
          <w:szCs w:val="24"/>
        </w:rPr>
      </w:pPr>
    </w:p>
    <w:p w14:paraId="39FCD7EA" w14:textId="77777777" w:rsidR="00D86262" w:rsidRPr="00E519DB" w:rsidRDefault="00D1354C" w:rsidP="00596F35">
      <w:pPr>
        <w:spacing w:line="240" w:lineRule="auto"/>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 xml:space="preserve">Dated: </w:t>
      </w:r>
      <w:r w:rsidR="004935CF">
        <w:rPr>
          <w:rFonts w:ascii="Times New Roman" w:hAnsi="Times New Roman" w:cs="Times New Roman"/>
          <w:color w:val="403152" w:themeColor="accent4" w:themeShade="80"/>
          <w:sz w:val="24"/>
          <w:szCs w:val="24"/>
        </w:rPr>
        <w:t xml:space="preserve">April </w:t>
      </w:r>
      <w:r w:rsidR="00FA663F">
        <w:rPr>
          <w:rFonts w:ascii="Times New Roman" w:hAnsi="Times New Roman" w:cs="Times New Roman"/>
          <w:color w:val="403152" w:themeColor="accent4" w:themeShade="80"/>
          <w:sz w:val="24"/>
          <w:szCs w:val="24"/>
        </w:rPr>
        <w:t>2</w:t>
      </w:r>
      <w:r w:rsidR="00645E3A" w:rsidRPr="00E519DB">
        <w:rPr>
          <w:rFonts w:ascii="Times New Roman" w:hAnsi="Times New Roman" w:cs="Times New Roman"/>
          <w:color w:val="403152" w:themeColor="accent4" w:themeShade="80"/>
          <w:sz w:val="24"/>
          <w:szCs w:val="24"/>
        </w:rPr>
        <w:t>, 2012</w:t>
      </w:r>
      <w:r w:rsidR="00645E3A" w:rsidRPr="00E519DB">
        <w:rPr>
          <w:rFonts w:ascii="Times New Roman" w:hAnsi="Times New Roman" w:cs="Times New Roman"/>
          <w:color w:val="403152" w:themeColor="accent4" w:themeShade="80"/>
          <w:sz w:val="24"/>
          <w:szCs w:val="24"/>
        </w:rPr>
        <w:tab/>
      </w:r>
      <w:r w:rsidR="00645E3A" w:rsidRPr="00E519DB">
        <w:rPr>
          <w:rFonts w:ascii="Times New Roman" w:hAnsi="Times New Roman" w:cs="Times New Roman"/>
          <w:color w:val="403152" w:themeColor="accent4" w:themeShade="80"/>
          <w:sz w:val="24"/>
          <w:szCs w:val="24"/>
        </w:rPr>
        <w:tab/>
      </w:r>
      <w:r w:rsidR="00645E3A" w:rsidRPr="00E519DB">
        <w:rPr>
          <w:rFonts w:ascii="Times New Roman" w:hAnsi="Times New Roman" w:cs="Times New Roman"/>
          <w:color w:val="403152" w:themeColor="accent4" w:themeShade="80"/>
          <w:sz w:val="24"/>
          <w:szCs w:val="24"/>
        </w:rPr>
        <w:tab/>
      </w:r>
      <w:r w:rsidR="00645E3A" w:rsidRPr="00E519DB">
        <w:rPr>
          <w:rFonts w:ascii="Times New Roman" w:hAnsi="Times New Roman" w:cs="Times New Roman"/>
          <w:color w:val="403152" w:themeColor="accent4" w:themeShade="80"/>
          <w:sz w:val="24"/>
          <w:szCs w:val="24"/>
        </w:rPr>
        <w:tab/>
      </w:r>
      <w:r w:rsidR="00D86262" w:rsidRPr="00E519DB">
        <w:rPr>
          <w:rFonts w:ascii="Times New Roman" w:hAnsi="Times New Roman" w:cs="Times New Roman"/>
          <w:color w:val="403152" w:themeColor="accent4" w:themeShade="80"/>
          <w:sz w:val="24"/>
          <w:szCs w:val="24"/>
        </w:rPr>
        <w:t>By_________________________________</w:t>
      </w:r>
    </w:p>
    <w:p w14:paraId="33F4034D" w14:textId="77777777" w:rsidR="00D86262" w:rsidRPr="00E519DB" w:rsidRDefault="00645E3A" w:rsidP="00596F35">
      <w:pPr>
        <w:spacing w:line="240" w:lineRule="auto"/>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00D86262" w:rsidRPr="00E519DB">
        <w:rPr>
          <w:rFonts w:ascii="Times New Roman" w:hAnsi="Times New Roman" w:cs="Times New Roman"/>
          <w:color w:val="403152" w:themeColor="accent4" w:themeShade="80"/>
          <w:sz w:val="24"/>
          <w:szCs w:val="24"/>
        </w:rPr>
        <w:t>Attorney #123456</w:t>
      </w:r>
    </w:p>
    <w:p w14:paraId="332F6BE7" w14:textId="77777777" w:rsidR="00D86262" w:rsidRPr="00E519DB" w:rsidRDefault="00D86262" w:rsidP="00717588">
      <w:pPr>
        <w:spacing w:line="240" w:lineRule="auto"/>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lastRenderedPageBreak/>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00717588">
        <w:rPr>
          <w:rFonts w:ascii="Times New Roman" w:eastAsia="Times New Roman" w:hAnsi="Times New Roman" w:cs="Times New Roman"/>
          <w:sz w:val="24"/>
          <w:szCs w:val="24"/>
        </w:rPr>
        <w:t>&lt;redacted&gt;&lt;/redacted&gt;</w:t>
      </w:r>
      <w:bookmarkStart w:id="47" w:name="_GoBack"/>
      <w:bookmarkEnd w:id="47"/>
    </w:p>
    <w:p w14:paraId="3D4B48F8" w14:textId="77777777" w:rsidR="00645E3A" w:rsidRDefault="00967740" w:rsidP="00596F35">
      <w:pPr>
        <w:spacing w:line="240" w:lineRule="auto"/>
        <w:contextualSpacing/>
        <w:rPr>
          <w:rFonts w:ascii="Times New Roman" w:hAnsi="Times New Roman" w:cs="Times New Roman"/>
          <w:color w:val="403152" w:themeColor="accent4" w:themeShade="80"/>
          <w:sz w:val="24"/>
          <w:szCs w:val="24"/>
        </w:rPr>
      </w:pP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r>
      <w:r w:rsidRPr="00E519DB">
        <w:rPr>
          <w:rFonts w:ascii="Times New Roman" w:hAnsi="Times New Roman" w:cs="Times New Roman"/>
          <w:color w:val="403152" w:themeColor="accent4" w:themeShade="80"/>
          <w:sz w:val="24"/>
          <w:szCs w:val="24"/>
        </w:rPr>
        <w:tab/>
        <w:t xml:space="preserve">       </w:t>
      </w:r>
      <w:r w:rsidR="00D86262" w:rsidRPr="00E519DB">
        <w:rPr>
          <w:rFonts w:ascii="Times New Roman" w:hAnsi="Times New Roman" w:cs="Times New Roman"/>
          <w:color w:val="403152" w:themeColor="accent4" w:themeShade="80"/>
          <w:sz w:val="24"/>
          <w:szCs w:val="24"/>
        </w:rPr>
        <w:t xml:space="preserve">ATTORNEY FOR PLAINTIFF </w:t>
      </w:r>
      <w:r w:rsidRPr="00E519DB">
        <w:rPr>
          <w:rFonts w:ascii="Times New Roman" w:hAnsi="Times New Roman" w:cs="Times New Roman"/>
          <w:color w:val="403152" w:themeColor="accent4" w:themeShade="80"/>
          <w:sz w:val="24"/>
          <w:szCs w:val="24"/>
        </w:rPr>
        <w:t>OGS TV, INC</w:t>
      </w:r>
      <w:r w:rsidR="00645E3A" w:rsidRPr="00E519DB">
        <w:rPr>
          <w:rFonts w:ascii="Times New Roman" w:hAnsi="Times New Roman" w:cs="Times New Roman"/>
          <w:color w:val="403152" w:themeColor="accent4" w:themeShade="80"/>
          <w:sz w:val="24"/>
          <w:szCs w:val="24"/>
        </w:rPr>
        <w:t>.</w:t>
      </w:r>
    </w:p>
    <w:p w14:paraId="0C3B39F3" w14:textId="77777777" w:rsidR="00B93835" w:rsidRDefault="00B93835" w:rsidP="00596F35">
      <w:pPr>
        <w:spacing w:line="240" w:lineRule="auto"/>
        <w:contextualSpacing/>
        <w:rPr>
          <w:rFonts w:ascii="Times New Roman" w:hAnsi="Times New Roman" w:cs="Times New Roman"/>
          <w:color w:val="403152" w:themeColor="accent4" w:themeShade="80"/>
          <w:sz w:val="24"/>
          <w:szCs w:val="24"/>
        </w:rPr>
      </w:pPr>
    </w:p>
    <w:p w14:paraId="572AC950" w14:textId="77777777" w:rsidR="00B93835" w:rsidRDefault="00B93835" w:rsidP="00596F35">
      <w:pPr>
        <w:spacing w:line="240" w:lineRule="auto"/>
        <w:contextualSpacing/>
        <w:rPr>
          <w:rFonts w:ascii="Times New Roman" w:hAnsi="Times New Roman" w:cs="Times New Roman"/>
          <w:color w:val="403152" w:themeColor="accent4" w:themeShade="80"/>
          <w:sz w:val="24"/>
          <w:szCs w:val="24"/>
        </w:rPr>
      </w:pPr>
    </w:p>
    <w:p w14:paraId="1F79D815" w14:textId="77777777" w:rsidR="00B93835" w:rsidRDefault="00B93835" w:rsidP="00596F35">
      <w:pPr>
        <w:spacing w:line="240" w:lineRule="auto"/>
        <w:contextualSpacing/>
        <w:rPr>
          <w:rFonts w:ascii="Times New Roman" w:hAnsi="Times New Roman" w:cs="Times New Roman"/>
          <w:color w:val="403152" w:themeColor="accent4" w:themeShade="80"/>
          <w:sz w:val="24"/>
          <w:szCs w:val="24"/>
        </w:rPr>
      </w:pPr>
    </w:p>
    <w:p w14:paraId="20636530" w14:textId="77777777" w:rsidR="00C75509" w:rsidRPr="00E519DB" w:rsidRDefault="00C75509" w:rsidP="00596F35">
      <w:pPr>
        <w:spacing w:line="240" w:lineRule="auto"/>
        <w:contextualSpacing/>
        <w:rPr>
          <w:rFonts w:ascii="Times New Roman" w:hAnsi="Times New Roman" w:cs="Times New Roman"/>
          <w:color w:val="403152" w:themeColor="accent4" w:themeShade="80"/>
          <w:sz w:val="24"/>
          <w:szCs w:val="24"/>
        </w:rPr>
      </w:pPr>
    </w:p>
    <w:sectPr w:rsidR="00C75509" w:rsidRPr="00E519D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45E9EE" w14:textId="77777777" w:rsidR="00E046DA" w:rsidRDefault="00E046DA" w:rsidP="00FA5AEB">
      <w:pPr>
        <w:spacing w:after="0" w:line="240" w:lineRule="auto"/>
      </w:pPr>
      <w:r>
        <w:separator/>
      </w:r>
    </w:p>
  </w:endnote>
  <w:endnote w:type="continuationSeparator" w:id="0">
    <w:p w14:paraId="1D063104" w14:textId="77777777" w:rsidR="00E046DA" w:rsidRDefault="00E046DA" w:rsidP="00FA5A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361180"/>
      <w:docPartObj>
        <w:docPartGallery w:val="Page Numbers (Bottom of Page)"/>
        <w:docPartUnique/>
      </w:docPartObj>
    </w:sdtPr>
    <w:sdtEndPr>
      <w:rPr>
        <w:rFonts w:ascii="Times New Roman" w:hAnsi="Times New Roman" w:cs="Times New Roman"/>
        <w:noProof/>
        <w:sz w:val="24"/>
        <w:szCs w:val="24"/>
      </w:rPr>
    </w:sdtEndPr>
    <w:sdtContent>
      <w:p w14:paraId="3682FE48" w14:textId="77777777" w:rsidR="003E05B4" w:rsidRPr="00442516" w:rsidRDefault="003E05B4">
        <w:pPr>
          <w:pStyle w:val="Footer"/>
          <w:jc w:val="center"/>
          <w:rPr>
            <w:rFonts w:ascii="Times New Roman" w:hAnsi="Times New Roman" w:cs="Times New Roman"/>
            <w:sz w:val="24"/>
            <w:szCs w:val="24"/>
          </w:rPr>
        </w:pPr>
        <w:r w:rsidRPr="00442516">
          <w:rPr>
            <w:rFonts w:ascii="Times New Roman" w:hAnsi="Times New Roman" w:cs="Times New Roman"/>
            <w:sz w:val="24"/>
            <w:szCs w:val="24"/>
          </w:rPr>
          <w:fldChar w:fldCharType="begin"/>
        </w:r>
        <w:r w:rsidRPr="00442516">
          <w:rPr>
            <w:rFonts w:ascii="Times New Roman" w:hAnsi="Times New Roman" w:cs="Times New Roman"/>
            <w:sz w:val="24"/>
            <w:szCs w:val="24"/>
          </w:rPr>
          <w:instrText xml:space="preserve"> PAGE   \* MERGEFORMAT </w:instrText>
        </w:r>
        <w:r w:rsidRPr="00442516">
          <w:rPr>
            <w:rFonts w:ascii="Times New Roman" w:hAnsi="Times New Roman" w:cs="Times New Roman"/>
            <w:sz w:val="24"/>
            <w:szCs w:val="24"/>
          </w:rPr>
          <w:fldChar w:fldCharType="separate"/>
        </w:r>
        <w:r w:rsidR="00717588">
          <w:rPr>
            <w:rFonts w:ascii="Times New Roman" w:hAnsi="Times New Roman" w:cs="Times New Roman"/>
            <w:noProof/>
            <w:sz w:val="24"/>
            <w:szCs w:val="24"/>
          </w:rPr>
          <w:t>10</w:t>
        </w:r>
        <w:r w:rsidRPr="00442516">
          <w:rPr>
            <w:rFonts w:ascii="Times New Roman" w:hAnsi="Times New Roman" w:cs="Times New Roman"/>
            <w:noProof/>
            <w:sz w:val="24"/>
            <w:szCs w:val="24"/>
          </w:rPr>
          <w:fldChar w:fldCharType="end"/>
        </w:r>
      </w:p>
    </w:sdtContent>
  </w:sdt>
  <w:p w14:paraId="5A61E6FF" w14:textId="77777777" w:rsidR="003E05B4" w:rsidRDefault="003E05B4" w:rsidP="00FA5AEB">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2DA7D3" w14:textId="77777777" w:rsidR="00E046DA" w:rsidRDefault="00E046DA" w:rsidP="00FA5AEB">
      <w:pPr>
        <w:spacing w:after="0" w:line="240" w:lineRule="auto"/>
      </w:pPr>
      <w:r>
        <w:separator/>
      </w:r>
    </w:p>
  </w:footnote>
  <w:footnote w:type="continuationSeparator" w:id="0">
    <w:p w14:paraId="209FDF79" w14:textId="77777777" w:rsidR="00E046DA" w:rsidRDefault="00E046DA" w:rsidP="00FA5AEB">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80645" w14:textId="77777777" w:rsidR="003E05B4" w:rsidRDefault="003E05B4" w:rsidP="00FA5AEB">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955C0"/>
    <w:multiLevelType w:val="hybridMultilevel"/>
    <w:tmpl w:val="86E81AC4"/>
    <w:lvl w:ilvl="0" w:tplc="CE7CED26">
      <w:start w:val="5"/>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D86F4A"/>
    <w:multiLevelType w:val="hybridMultilevel"/>
    <w:tmpl w:val="93C44E04"/>
    <w:lvl w:ilvl="0" w:tplc="40F41EF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CITRUS_CORRECTED_CITE" w:val="Compaq Computer Corp. v. Ergonome Inc., 210 F. Supp. 2d 839, 843 (S.D. Tex. 2001)"/>
    <w:docVar w:name="__CITRUS_FIRST_PARTY" w:val="Compaq Computer Corp."/>
    <w:docVar w:name="__CITRUS_SECOND_PARTY" w:val="Ergonome Inc."/>
    <w:docVar w:name="_CITRUS_JURISDICTION" w:val="Bluebook"/>
    <w:docVar w:name="CITRUS_BOOKMARK1000000001[0]" w:val="17 U.S.C. § 101  et seq. (“the Copyright Act”)"/>
    <w:docVar w:name="CITRUS_BOOKMARK1000000002[0]" w:val="Id.  ¶¶ 9, 11"/>
    <w:docVar w:name="CITRUS_BOOKMARK1000000003[0]" w:val="Id.  ¶¶ 10, 12, 13, 15"/>
    <w:docVar w:name="CITRUS_BOOKMARK1000000004[0]" w:val="Id.  ¶ 16"/>
    <w:docVar w:name="CITRUS_BOOKMARK1000000005[0]" w:val="Id.  ¶ 17"/>
    <w:docVar w:name="CITRUS_BOOKMARK1000000006[0]" w:val="Id.  ¶ 20"/>
    <w:docVar w:name="CITRUS_BOOKMARK1000000007[0]" w:val="Id.  ¶ 21"/>
    <w:docVar w:name="CITRUS_BOOKMARK1000000008[0]" w:val="Id.  ¶¶ 24"/>
    <w:docVar w:name="CITRUS_BOOKMARK1000000009[0]" w:val="Id.  ¶ 26"/>
    <w:docVar w:name="CITRUS_BOOKMARK1000000010[0]" w:val="Id.  ¶¶ 27"/>
    <w:docVar w:name="CITRUS_BOOKMARK1000000011[0]" w:val="Id.  ¶¶ 30, 32, 34"/>
    <w:docVar w:name="CITRUS_BOOKMARK1000000012[0]" w:val="17 U.S.C. §101(2)"/>
    <w:docVar w:name="CITRUS_BOOKMARK1000000013[0]" w:val="17 U.S.C. § 106"/>
    <w:docVar w:name="CITRUS_BOOKMARK1000000014[0]" w:val="17 U.S.C. § 101  et seq"/>
    <w:docVar w:name="CITRUS_BOOKMARK1000000015[0]" w:val="17 U.S.C. §201(a)"/>
    <w:docVar w:name="CITRUS_BOOKMARK1000000016[0]" w:val="17 U.S.C. § 201(b)"/>
    <w:docVar w:name="CITRUS_BOOKMARK1000000017[0]" w:val="17 U.S.C. § 101"/>
    <w:docVar w:name="CITRUS_BOOKMARK1000000018[0]" w:val="17 U.S.C. § 101(2)"/>
    <w:docVar w:name="CITRUS_BOOKMARK1000000022[0]" w:val="17 U.S.C. § 101(2)"/>
    <w:docVar w:name="CITRUS_BOOKMARK1000000023[0]" w:val="Id"/>
    <w:docVar w:name="CITRUS_BOOKMARK1000000024[0]" w:val="Id"/>
    <w:docVar w:name="CITRUS_BOOKMARK1000000029[0]" w:val="Mass. v. Morash, 490 U.S. 107, 115 (1989)"/>
    <w:docVar w:name="CITRUS_BOOKMARK1000000030[0]" w:val="§§ 101(2) and 201(b)"/>
    <w:docVar w:name="CITRUS_BOOKMARK1000000031[0]" w:val="17 U.S.C. §§ 201(c)"/>
    <w:docVar w:name="CITRUS_BOOKMARK1000000032[0]" w:val="17 U.S.C. § 201(b)"/>
    <w:docVar w:name="CITRUS_BOOKMARK1000000033[0]" w:val="17 U.S.C. § 201(d)"/>
    <w:docVar w:name="CITRUS_BOOKMARK1000000034[0]" w:val="17 U.S.C. § 203"/>
    <w:docVar w:name="CITRUS_BOOKMARK1000000035[0]" w:val="17 U.S.C. § 302"/>
    <w:docVar w:name="CITRUS_BOOKMARK1000000037[0]" w:val="U.S. Const. art I, § 8, cl. 8"/>
    <w:docVar w:name="CITRUS_BOOKMARK1000000039[0]" w:val="Monessen Sw. Ry. v. Morgan, 486 U.S. 330, 338-39 (1988)"/>
    <w:docVar w:name="CITRUS_BOOKMARK1000000040[0]" w:val="§ 101(2)"/>
    <w:docVar w:name="CITRUS_BOOKMARK1000000043[0]" w:val="§ 101(2)"/>
    <w:docVar w:name="CITRUS_BOOKMARK1000000047[0]" w:val="§ 101(2)"/>
    <w:docVar w:name="CITRUS_BOOKMARK1000000048[0]" w:val="Compaq Computer Corp. v. Ergonome Inc., 210 F.Supp. 2d 839, 843 (2001)"/>
    <w:docVar w:name="CITRUS_BOOKMARK1000000051[0]" w:val="Compaq Computer Corp. v. Ergonome Inc., 210 F.Supp. 2d 839, 843 (20011234)"/>
    <w:docVar w:name="CITRUS_BOOKMARK1000000052[0]" w:val="Compaq Computer Corp. v. Ergonome Inc., 210 F.Supp. 2d 839, 843 (2001)"/>
    <w:docVar w:name="CITRUS_BOOKMARK19[0]" w:val="&lt;#1&gt;&lt;citation&gt;&lt;citation._original_string&gt;United States v. Ron Pair Enterprises, Inc., 489 U.S. 235, 241   (1989)&lt;/citation._original_string&gt;&lt;citation._current_string&gt;United States v. Ron Pair Enters., 489 U.S. 235, 241 (1989)&lt;/citation._current_string&gt;&lt;citation._full_string&gt;United States v. Ron Pair Enters., 489 U.S. 235, 241 (1989)&lt;/citation._full_string&gt;&lt;citation._current_format&gt;Full.CaseCitation&lt;/citation._current_format&gt;&lt;citation.name&gt;&lt;/citation.name&gt;&lt;citation.key0&gt;,&lt;/citation.key0&gt;&lt;citation.value0&gt;,&lt;/citation.value0&gt;&lt;citation.key1&gt;CaseName.FirstParty.Party&lt;/citation.key1&gt;&lt;citation.value1&gt;United States&lt;/citation.value1&gt;&lt;citation.key2&gt;CaseName.FirstParty._Pattern&lt;/citation.key2&gt;&lt;citation.value2&gt;Party.Party&lt;/citation.value2&gt;&lt;citation.key3&gt;CaseName.SecondParty.Party&lt;/citation.key3&gt;&lt;citation.value3&gt;Ron Pair Enterprises, Inc.&lt;/citation.value3&gt;&lt;citation.key4&gt;CaseName.SecondParty._Pattern&lt;/citation.key4&gt;&lt;citation.value4&gt;Party.Party&lt;/citation.value4&gt;&lt;citation.key5&gt;CourtParenthetical&lt;/citation.key5&gt;&lt;citation.value5&gt; (1989) &lt;/citation.value5&gt;&lt;citation.key6&gt;CourtParenthetical.Date.Year.Year&lt;/citation.key6&gt;&lt;citation.value6&gt;1989&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United States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489 U.S. 235, 241&lt;/citation.value23&gt;&lt;citation.key24&gt;Reporter.FirstPage&lt;/citation.key24&gt;&lt;citation.value24&gt;235&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489&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241&lt;/citation.value33&gt;&lt;citation.key34&gt;Reporter.__PinPages.First&lt;/citation.key34&gt;&lt;citation.value34&gt;241&lt;/citation.value34&gt;&lt;citation.key35&gt;Reporter.__PinPages.First._Pattern&lt;/citation.key35&gt;&lt;citation.value35&gt;FirstPageInRange.FirstPageInRange&lt;/citation.value35&gt;&lt;citation.key36&gt;Reporter.__PinPages.First.__PageNumber&lt;/citation.key36&gt;&lt;citation.value36&gt;241&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Ron Pair Enters.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20[0]" w:val="&lt;#1&gt;&lt;citation&gt;&lt;citation._original_string&gt;Fly, Inc. v. Dollar Park &amp; Fly, Inc.,469 U.S. 189, 194  (1985)&lt;/citation._original_string&gt;&lt;citation._current_string&gt;Park'N Fly, Inc. v. Dollar Park &amp; Fly, Inc., 469 U.S. 189, 194 (1985)&lt;/citation._current_string&gt;&lt;citation._full_string&gt;Park'N Fly, Inc. v. Dollar Park &amp; Fly, Inc., 469 U.S. 189, 194 (1985)&lt;/citation._full_string&gt;&lt;citation._current_format&gt;Full.CaseCitation&lt;/citation._current_format&gt;&lt;citation.name&gt;&lt;/citation.name&gt;&lt;citation.key0&gt;,&lt;/citation.key0&gt;&lt;citation.value0&gt;,&lt;/citation.value0&gt;&lt;citation.key1&gt;CaseName.FirstParty.Party&lt;/citation.key1&gt;&lt;citation.value1&gt;Park'N Fly, Inc.&lt;/citation.value1&gt;&lt;citation.key2&gt;CaseName.FirstParty._Pattern&lt;/citation.key2&gt;&lt;citation.value2&gt;Party.Party&lt;/citation.value2&gt;&lt;citation.key3&gt;CaseName.SecondParty.Party&lt;/citation.key3&gt;&lt;citation.value3&gt;Dollar Park &amp; Fly, Inc.&lt;/citation.value3&gt;&lt;citation.key4&gt;CaseName.SecondParty._Pattern&lt;/citation.key4&gt;&lt;citation.value4&gt;Party.Party&lt;/citation.value4&gt;&lt;citation.key5&gt;CourtParenthetical&lt;/citation.key5&gt;&lt;citation.value5&gt; (1985) &lt;/citation.value5&gt;&lt;citation.key6&gt;CourtParenthetical.Date.Year.Year&lt;/citation.key6&gt;&lt;citation.value6&gt;1985&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Park'N Fly, Inc.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469 U.S. 189, 194&lt;/citation.value23&gt;&lt;citation.key24&gt;Reporter.FirstPage&lt;/citation.key24&gt;&lt;citation.value24&gt;189&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469&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194&lt;/citation.value33&gt;&lt;citation.key34&gt;Reporter.__PinPages.First&lt;/citation.key34&gt;&lt;citation.value34&gt;194&lt;/citation.value34&gt;&lt;citation.key35&gt;Reporter.__PinPages.First._Pattern&lt;/citation.key35&gt;&lt;citation.value35&gt;FirstPageInRange.FirstPageInRange&lt;/citation.value35&gt;&lt;citation.key36&gt;Reporter.__PinPages.First.__PageNumber&lt;/citation.key36&gt;&lt;citation.value36&gt;194&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Dollar Park &amp; Fly, Inc.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21[0]" w:val="&lt;#1&gt;&lt;citation&gt;&lt;citation._original_string&gt;TRW, Inc. v. Andrews,534 U.S. 19, 27  (2001)&lt;/citation._original_string&gt;&lt;citation._current_string&gt;TRW Inc. v. Andrews, 534 U.S. 19, 27 (2001)&lt;/citation._current_string&gt;&lt;citation._full_string&gt;TRW Inc. v. Andrews, 534 U.S. 19, 27 (2001)&lt;/citation._full_string&gt;&lt;citation._current_format&gt;Full.CaseCitation&lt;/citation._current_format&gt;&lt;citation.name&gt;&lt;/citation.name&gt;&lt;citation.key0&gt;,&lt;/citation.key0&gt;&lt;citation.value0&gt;,&lt;/citation.value0&gt;&lt;citation.key1&gt;CaseName.FirstParty.Party&lt;/citation.key1&gt;&lt;citation.value1&gt;TRW Inc.&lt;/citation.value1&gt;&lt;citation.key2&gt;CaseName.FirstParty._Pattern&lt;/citation.key2&gt;&lt;citation.value2&gt;Party.Party&lt;/citation.value2&gt;&lt;citation.key3&gt;CaseName.SecondParty.Party&lt;/citation.key3&gt;&lt;citation.value3&gt;Andrews&lt;/citation.value3&gt;&lt;citation.key4&gt;CaseName.SecondParty._Pattern&lt;/citation.key4&gt;&lt;citation.value4&gt;Party.Party&lt;/citation.value4&gt;&lt;citation.key5&gt;CourtParenthetical&lt;/citation.key5&gt;&lt;citation.value5&gt; (2001) &lt;/citation.value5&gt;&lt;citation.key6&gt;CourtParenthetical.Date.Year.Year&lt;/citation.key6&gt;&lt;citation.value6&gt;2001&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TRW Inc.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534 U.S. 19, 27&lt;/citation.value23&gt;&lt;citation.key24&gt;Reporter.FirstPage&lt;/citation.key24&gt;&lt;citation.value24&gt;19&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534&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27&lt;/citation.value33&gt;&lt;citation.key34&gt;Reporter.__PinPages.First&lt;/citation.key34&gt;&lt;citation.value34&gt;27&lt;/citation.value34&gt;&lt;citation.key35&gt;Reporter.__PinPages.First._Pattern&lt;/citation.key35&gt;&lt;citation.value35&gt;FirstPageInRange.FirstPageInRange&lt;/citation.value35&gt;&lt;citation.key36&gt;Reporter.__PinPages.First.__PageNumber&lt;/citation.key36&gt;&lt;citation.value36&gt;27&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Andrews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25[0]" w:val="&lt;#1&gt;&lt;citation&gt;&lt;citation._original_string&gt;Mass. v. Morash, 490 U.S. 107, 115  (1989)&lt;/citation._original_string&gt;&lt;citation._current_string&gt;Massachusetts v. Morash, 490 U.S. 107, 115 (1989)&lt;/citation._current_string&gt;&lt;citation._full_string&gt;Massachusetts v. Morash, 490 U.S. 107, 115 (1989)&lt;/citation._full_string&gt;&lt;citation._current_format&gt;Full.CaseCitation&lt;/citation._current_format&gt;&lt;citation.name&gt;&lt;/citation.name&gt;&lt;citation.key0&gt;,&lt;/citation.key0&gt;&lt;citation.value0&gt;,&lt;/citation.value0&gt;&lt;citation.key1&gt;CaseName.FirstParty.Party&lt;/citation.key1&gt;&lt;citation.value1&gt;Massachusetts&lt;/citation.value1&gt;&lt;citation.key2&gt;CaseName.FirstParty._Pattern&lt;/citation.key2&gt;&lt;citation.value2&gt;Party.Party&lt;/citation.value2&gt;&lt;citation.key3&gt;CaseName.SecondParty.Party&lt;/citation.key3&gt;&lt;citation.value3&gt;Morash&lt;/citation.value3&gt;&lt;citation.key4&gt;CaseName.SecondParty._Pattern&lt;/citation.key4&gt;&lt;citation.value4&gt;Party.Party&lt;/citation.value4&gt;&lt;citation.key5&gt;CourtParenthetical&lt;/citation.key5&gt;&lt;citation.value5&gt; (1989) &lt;/citation.value5&gt;&lt;citation.key6&gt;CourtParenthetical.Date.Year.Year&lt;/citation.key6&gt;&lt;citation.value6&gt;1989&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Massachusetts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490 U.S. 107, 115&lt;/citation.value23&gt;&lt;citation.key24&gt;Reporter.FirstPage&lt;/citation.key24&gt;&lt;citation.value24&gt;107&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490&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115&lt;/citation.value33&gt;&lt;citation.key34&gt;Reporter.__PinPages.First&lt;/citation.key34&gt;&lt;citation.value34&gt;115&lt;/citation.value34&gt;&lt;citation.key35&gt;Reporter.__PinPages.First._Pattern&lt;/citation.key35&gt;&lt;citation.value35&gt;FirstPageInRange.FirstPageInRange&lt;/citation.value35&gt;&lt;citation.key36&gt;Reporter.__PinPages.First.__PageNumber&lt;/citation.key36&gt;&lt;citation.value36&gt;115&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Morash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26[0]" w:val="&lt;#1&gt;&lt;citation&gt;&lt;citation._original_string&gt;Mass. v. Morash, 490 U.S. 107, 115 (1989)&lt;/citation._original_string&gt;&lt;citation._current_string&gt;Massachusetts v. Morash, 490 U.S. 107, 115 (1989)&lt;/citation._current_string&gt;&lt;citation._full_string&gt;Massachusetts v. Morash, 490 U.S. 107, 115 (1989)&lt;/citation._full_string&gt;&lt;citation._current_format&gt;Full.CaseCitation&lt;/citation._current_format&gt;&lt;citation.name&gt;&lt;/citation.name&gt;&lt;citation.key0&gt;,&lt;/citation.key0&gt;&lt;citation.value0&gt;,&lt;/citation.value0&gt;&lt;citation.key1&gt;CaseName&lt;/citation.key1&gt;&lt;citation.value1&gt;Massachusetts v. Morash &lt;/citation.value1&gt;&lt;citation.key2&gt;CaseName.FirstParty&lt;/citation.key2&gt;&lt;citation.value2&gt;Massachusetts &lt;/citation.value2&gt;&lt;citation.key3&gt;CaseName.FirstParty.Party&lt;/citation.key3&gt;&lt;citation.value3&gt;Massachusetts&lt;/citation.value3&gt;&lt;citation.key4&gt;CaseName.FirstParty._Pattern&lt;/citation.key4&gt;&lt;citation.value4&gt;Party.Party&lt;/citation.value4&gt;&lt;citation.key5&gt;CaseName.SecondParty&lt;/citation.key5&gt;&lt;citation.value5&gt;Morash &lt;/citation.value5&gt;&lt;citation.key6&gt;CaseName.SecondParty.Party&lt;/citation.key6&gt;&lt;citation.value6&gt;Morash&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89) &lt;/citation.value10&gt;&lt;citation.key11&gt;CourtParenthetical.Date&lt;/citation.key11&gt;&lt;citation.value11&gt;1989 &lt;/citation.value11&gt;&lt;citation.key12&gt;CourtParenthetical.Date.Year&lt;/citation.key12&gt;&lt;citation.value12&gt;1989 &lt;/citation.value12&gt;&lt;citation.key13&gt;CourtParenthetical.Date.Year.Year&lt;/citation.key13&gt;&lt;citation.value13&gt;1989&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Massachusetts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90 U.S. at 115&lt;/citation.value30&gt;&lt;citation.key31&gt;Reporter.FirstPage&lt;/citation.key31&gt;&lt;citation.value31&gt;107&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490&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115&lt;/citation.value40&gt;&lt;citation.key41&gt;Reporter.__PinPages.First&lt;/citation.key41&gt;&lt;citation.value41&gt;115&lt;/citation.value41&gt;&lt;citation.key42&gt;Reporter.__PinPages.First._Pattern&lt;/citation.key42&gt;&lt;citation.value42&gt;FirstPageInRange.FirstPageInRange&lt;/citation.value42&gt;&lt;citation.key43&gt;Reporter.__PinPages.First.__PageNumber&lt;/citation.key43&gt;&lt;citation.value43&gt;115&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Morash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27[0]" w:val="&lt;#1&gt;&lt;citation&gt;&lt;citation._original_string&gt;Mass. v. Morash, 490 U.S. 107, 115 (1989)&lt;/citation._original_string&gt;&lt;citation._current_string&gt;Massachusetts v. Morash, 490 U.S. 107, 115 (1989)&lt;/citation._current_string&gt;&lt;citation._full_string&gt;Massachusetts v. Morash, 490 U.S. 107, 115 (1989)&lt;/citation._full_string&gt;&lt;citation._current_format&gt;Full.CaseCitation&lt;/citation._current_format&gt;&lt;citation.name&gt;&lt;/citation.name&gt;&lt;citation.key0&gt;,&lt;/citation.key0&gt;&lt;citation.value0&gt;,&lt;/citation.value0&gt;&lt;citation.key1&gt;CaseName&lt;/citation.key1&gt;&lt;citation.value1&gt;Massachusetts v. Morash &lt;/citation.value1&gt;&lt;citation.key2&gt;CaseName.FirstParty&lt;/citation.key2&gt;&lt;citation.value2&gt;Massachusetts &lt;/citation.value2&gt;&lt;citation.key3&gt;CaseName.FirstParty.Party&lt;/citation.key3&gt;&lt;citation.value3&gt;Massachusetts&lt;/citation.value3&gt;&lt;citation.key4&gt;CaseName.FirstParty._Pattern&lt;/citation.key4&gt;&lt;citation.value4&gt;Party.Party&lt;/citation.value4&gt;&lt;citation.key5&gt;CaseName.SecondParty&lt;/citation.key5&gt;&lt;citation.value5&gt;Morash &lt;/citation.value5&gt;&lt;citation.key6&gt;CaseName.SecondParty.Party&lt;/citation.key6&gt;&lt;citation.value6&gt;Morash&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89) &lt;/citation.value10&gt;&lt;citation.key11&gt;CourtParenthetical.Date&lt;/citation.key11&gt;&lt;citation.value11&gt;1989 &lt;/citation.value11&gt;&lt;citation.key12&gt;CourtParenthetical.Date.Year&lt;/citation.key12&gt;&lt;citation.value12&gt;1989 &lt;/citation.value12&gt;&lt;citation.key13&gt;CourtParenthetical.Date.Year.Year&lt;/citation.key13&gt;&lt;citation.value13&gt;1989&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Massachusetts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90 U.S. at 115&lt;/citation.value30&gt;&lt;citation.key31&gt;Reporter.FirstPage&lt;/citation.key31&gt;&lt;citation.value31&gt;107&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490&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115&lt;/citation.value40&gt;&lt;citation.key41&gt;Reporter.__PinPages.First&lt;/citation.key41&gt;&lt;citation.value41&gt;115&lt;/citation.value41&gt;&lt;citation.key42&gt;Reporter.__PinPages.First._Pattern&lt;/citation.key42&gt;&lt;citation.value42&gt;FirstPageInRange.FirstPageInRange&lt;/citation.value42&gt;&lt;citation.key43&gt;Reporter.__PinPages.First.__PageNumber&lt;/citation.key43&gt;&lt;citation.value43&gt;115&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Morash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28[0]" w:val="&lt;#1&gt;&lt;citation&gt;&lt;citation._original_string&gt;Park'N Fly, Inc. v. Dollar Park &amp; Fly, Inc., 469 U.S. 189, 194 (1985)&lt;/citation._original_string&gt;&lt;citation._current_string&gt;Park'N Fly, Inc. v. Dollar Park &amp; Fly, Inc., 469 U.S. 189, 194 (1985)&lt;/citation._current_string&gt;&lt;citation._full_string&gt;Park'N Fly, Inc. v. Dollar Park &amp; Fly, Inc., 469 U.S. 189, 194 (1985)&lt;/citation._full_string&gt;&lt;citation._current_format&gt;Full.CaseCitation&lt;/citation._current_format&gt;&lt;citation.name&gt;&lt;/citation.name&gt;&lt;citation.key0&gt;,&lt;/citation.key0&gt;&lt;citation.value0&gt;,&lt;/citation.value0&gt;&lt;citation.key1&gt;CaseName&lt;/citation.key1&gt;&lt;citation.value1&gt;Park'N Fly, Inc. v. Dollar Park &amp; Fly, Inc. &lt;/citation.value1&gt;&lt;citation.key2&gt;CaseName.FirstParty&lt;/citation.key2&gt;&lt;citation.value2&gt;Park'N Fly, Inc. &lt;/citation.value2&gt;&lt;citation.key3&gt;CaseName.FirstParty.Party&lt;/citation.key3&gt;&lt;citation.value3&gt;Park'N Fly, Inc.&lt;/citation.value3&gt;&lt;citation.key4&gt;CaseName.FirstParty._Pattern&lt;/citation.key4&gt;&lt;citation.value4&gt;Party.Party&lt;/citation.value4&gt;&lt;citation.key5&gt;CaseName.SecondParty&lt;/citation.key5&gt;&lt;citation.value5&gt;Dollar Park &amp; Fly, Inc. &lt;/citation.value5&gt;&lt;citation.key6&gt;CaseName.SecondParty.Party&lt;/citation.key6&gt;&lt;citation.value6&gt;Dollar Park &amp; Fly, Inc.&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1985) &lt;/citation.value10&gt;&lt;citation.key11&gt;CourtParenthetical.Date&lt;/citation.key11&gt;&lt;citation.value11&gt;1985 &lt;/citation.value11&gt;&lt;citation.key12&gt;CourtParenthetical.Date.Year&lt;/citation.key12&gt;&lt;citation.value12&gt;1985 &lt;/citation.value12&gt;&lt;citation.key13&gt;CourtParenthetical.Date.Year.Year&lt;/citation.key13&gt;&lt;citation.value13&gt;1985&lt;/citation.value13&gt;&lt;citation.key14&gt;CourtParenthetical.Date.Year._Pattern&lt;/citation.key14&gt;&lt;citation.value14&gt;Year.Year&lt;/citation.value14&gt;&lt;citation.key15&gt;CourtParenthetical.Date._Pattern&lt;/citation.key15&gt;&lt;citation.value15&gt;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FirstParty&lt;/citation.key24&gt;&lt;citation.value24&gt;Park'N Fly, Inc. &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469 U.S. at 194&lt;/citation.value30&gt;&lt;citation.key31&gt;Reporter.FirstPage&lt;/citation.key31&gt;&lt;citation.value31&gt;189&lt;/citation.value31&gt;&lt;citation.key32&gt;Reporter.Name&lt;/citation.key32&gt;&lt;citation.value32&gt;U.S.&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469&lt;/citation.value36&gt;&lt;citation.key37&gt;Reporter.[&lt;/citation.key37&gt;&lt;citation.value37&gt;[&lt;/citation.value37&gt;&lt;citation.key38&gt;Reporter.]&lt;/citation.key38&gt;&lt;citation.value38&gt;]&lt;/citation.value38&gt;&lt;citation.key39&gt;Reporter._Pattern&lt;/citation.key39&gt;&lt;citation.value39&gt;ShortReporter.ShortReporter&lt;/citation.value39&gt;&lt;citation.key40&gt;Reporter.__PinPages&lt;/citation.key40&gt;&lt;citation.value40&gt;194&lt;/citation.value40&gt;&lt;citation.key41&gt;Reporter.__PinPages.First&lt;/citation.key41&gt;&lt;citation.value41&gt;194&lt;/citation.value41&gt;&lt;citation.key42&gt;Reporter.__PinPages.First._Pattern&lt;/citation.key42&gt;&lt;citation.value42&gt;FirstPageInRange.FirstPageInRange&lt;/citation.value42&gt;&lt;citation.key43&gt;Reporter.__PinPages.First.__PageNumber&lt;/citation.key43&gt;&lt;citation.value43&gt;194&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Comma&lt;/citation.key47&gt;&lt;citation.value47&gt;,&lt;/citation.value47&gt;&lt;citation.key48&gt;RequiredComma._Pattern&lt;/citation.key48&gt;&lt;citation.value48&gt;RequiredComma.RequiredComma&lt;/citation.value48&gt;&lt;citation.key49&gt;SecondParty&lt;/citation.key49&gt;&lt;citation.value49&gt;Dollar Park &amp; Fly, Inc. &lt;/citation.value49&gt;&lt;citation.key50&gt;supra&lt;/citation.key50&gt;&lt;citation.value50&gt;&lt;/citation.value50&gt;&lt;citation.key51&gt;supra.,&lt;/citation.key51&gt;&lt;citation.value51&gt;, &lt;/citation.value51&gt;&lt;citation.key52&gt;supra._Pattern&lt;/citation.key52&gt;&lt;citation.value52&gt;ShortCaseSupra.ShortCaseSupra&lt;/citation.value52&gt;&lt;citation.key53&gt;supra.supra&lt;/citation.key53&gt;&lt;citation.value53&gt;supra&lt;/citation.value53&gt;&lt;citation.key54&gt;v&lt;/citation.key54&gt;&lt;citation.value54&gt;v.&lt;/citation.value54&gt;&lt;/citation&gt;_x000a_"/>
    <w:docVar w:name="CITRUS_BOOKMARK36[0]" w:val="&lt;#1&gt;&lt;citation&gt;&lt;citation._original_string&gt;Fla. Power &amp; Light Co. v. Lorion,470 U.S. 729, 737  (1985)&lt;/citation._original_string&gt;&lt;citation._current_string&gt;Fla. Power &amp; Light Co. v. Lorion, 470 U.S. 729, 737 (1985)&lt;/citation._current_string&gt;&lt;citation._full_string&gt;Fla. Power &amp; Light Co. v. Lorion, 470 U.S. 729, 737 (1985)&lt;/citation._full_string&gt;&lt;citation._current_format&gt;Full.CaseCitation&lt;/citation._current_format&gt;&lt;citation.name&gt;&lt;/citation.name&gt;&lt;citation.key0&gt;,&lt;/citation.key0&gt;&lt;citation.value0&gt;,&lt;/citation.value0&gt;&lt;citation.key1&gt;CaseName.FirstParty.Party&lt;/citation.key1&gt;&lt;citation.value1&gt;Florida Power &amp; Light Co.&lt;/citation.value1&gt;&lt;citation.key2&gt;CaseName.FirstParty._Pattern&lt;/citation.key2&gt;&lt;citation.value2&gt;Party.Party&lt;/citation.value2&gt;&lt;citation.key3&gt;CaseName.SecondParty.Party&lt;/citation.key3&gt;&lt;citation.value3&gt;Lorion&lt;/citation.value3&gt;&lt;citation.key4&gt;CaseName.SecondParty._Pattern&lt;/citation.key4&gt;&lt;citation.value4&gt;Party.Party&lt;/citation.value4&gt;&lt;citation.key5&gt;CourtParenthetical&lt;/citation.key5&gt;&lt;citation.value5&gt; (1985) &lt;/citation.value5&gt;&lt;citation.key6&gt;CourtParenthetical.Date.Year.Year&lt;/citation.key6&gt;&lt;citation.value6&gt;1985&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Fla. Power &amp; Light Co.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470 U.S. 729, 737&lt;/citation.value23&gt;&lt;citation.key24&gt;Reporter.FirstPage&lt;/citation.key24&gt;&lt;citation.value24&gt;729&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470&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737&lt;/citation.value33&gt;&lt;citation.key34&gt;Reporter.__PinPages.First&lt;/citation.key34&gt;&lt;citation.value34&gt;737&lt;/citation.value34&gt;&lt;citation.key35&gt;Reporter.__PinPages.First._Pattern&lt;/citation.key35&gt;&lt;citation.value35&gt;FirstPageInRange.FirstPageInRange&lt;/citation.value35&gt;&lt;citation.key36&gt;Reporter.__PinPages.First.__PageNumber&lt;/citation.key36&gt;&lt;citation.value36&gt;737&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Lorion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38[0]" w:val="&lt;#1&gt;&lt;citation&gt;&lt;citation._original_string&gt;Copyright Act. Community for Creative Non-Violence v. Reid,490 U.S. 730, 749  (1989)&lt;/citation._original_string&gt;&lt;citation._current_string&gt;Cmty. for Creative Non-Violence v. Reid, 490 U.S. 730, 749 (1989)&lt;/citation._current_string&gt;&lt;citation._full_string&gt;Cmty. for Creative Non-Violence v. Reid, 490 U.S. 730, 749 (1989)&lt;/citation._full_string&gt;&lt;citation._current_format&gt;Full.CaseCitation&lt;/citation._current_format&gt;&lt;citation.name&gt;&lt;/citation.name&gt;&lt;citation.key0&gt;,&lt;/citation.key0&gt;&lt;citation.value0&gt;,&lt;/citation.value0&gt;&lt;citation.key1&gt;CaseName.FirstParty.Party&lt;/citation.key1&gt;&lt;citation.value1&gt;Community for Creative Non-Violence&lt;/citation.value1&gt;&lt;citation.key2&gt;CaseName.FirstParty._Pattern&lt;/citation.key2&gt;&lt;citation.value2&gt;Party.Party&lt;/citation.value2&gt;&lt;citation.key3&gt;CaseName.SecondParty.Party&lt;/citation.key3&gt;&lt;citation.value3&gt;Reid&lt;/citation.value3&gt;&lt;citation.key4&gt;CaseName.SecondParty._Pattern&lt;/citation.key4&gt;&lt;citation.value4&gt;Party.Party&lt;/citation.value4&gt;&lt;citation.key5&gt;CourtParenthetical&lt;/citation.key5&gt;&lt;citation.value5&gt; (1989) &lt;/citation.value5&gt;&lt;citation.key6&gt;CourtParenthetical.Date.Year.Year&lt;/citation.key6&gt;&lt;citation.value6&gt;1989&lt;/citation.value6&gt;&lt;citation.key7&gt;CourtParenthetical.Date.Year._Pattern&lt;/citation.key7&gt;&lt;citation.value7&gt;CourtParenthetical.Date.Year.Year&lt;/citation.value7&gt;&lt;citation.key8&gt;CourtParenthetical.Date._Pattern&lt;/citation.key8&gt;&lt;citation.value8&gt;CourtParenthetical.Date.Date&lt;/citation.value8&gt;&lt;citation.key9&gt;CourtParenthetical.ForbiddenComma._Pattern&lt;/citation.key9&gt;&lt;citation.value9&gt;ForbiddenComma.ForbiddenComma&lt;/citation.value9&gt;&lt;citation.key10&gt;CourtParenthetical.Switch ( [ L&lt;/citation.key10&gt;&lt;citation.value10&gt; (&lt;/citation.value10&gt;&lt;citation.key11&gt;CourtParenthetical.Switch ( [ L.(&lt;/citation.key11&gt;&lt;citation.value11&gt;(&lt;/citation.value11&gt;&lt;citation.key12&gt;CourtParenthetical.Switch ( [ L._Pattern&lt;/citation.key12&gt;&lt;citation.value12&gt;Switch ( [ L.Switch ( [ L&lt;/citation.value12&gt;&lt;citation.key13&gt;CourtParenthetical.Switch ) ] R&lt;/citation.key13&gt;&lt;citation.value13&gt;) &lt;/citation.value13&gt;&lt;citation.key14&gt;CourtParenthetical.Switch ) ] R.)&lt;/citation.key14&gt;&lt;citation.value14&gt;)&lt;/citation.value14&gt;&lt;citation.key15&gt;CourtParenthetical.Switch ) ] R._Pattern&lt;/citation.key15&gt;&lt;citation.value15&gt;Switch ) ] R.Switch ) ] R&lt;/citation.value15&gt;&lt;citation.key16&gt;CourtParenthetical._Pattern&lt;/citation.key16&gt;&lt;citation.value16&gt;CourtParenthetical.CourtParenthetical&lt;/citation.value16&gt;&lt;citation.key17&gt;FirstParty&lt;/citation.key17&gt;&lt;citation.value17&gt;Cmty. for Creative Non-Violence &lt;/citation.value17&gt;&lt;citation.key18&gt;Id&lt;/citation.key18&gt;&lt;citation.value18&gt;Id. &lt;/citation.value18&gt;&lt;citation.key19&gt;Id.Id&lt;/citation.key19&gt;&lt;citation.value19&gt;Id.&lt;/citation.value19&gt;&lt;citation.key20&gt;Id._Pattern&lt;/citation.key20&gt;&lt;citation.value20&gt;IdGraph.IdGraph&lt;/citation.value20&gt;&lt;citation.key21&gt;NY L Paren&lt;/citation.key21&gt;&lt;citation.value21&gt;(&lt;/citation.value21&gt;&lt;citation.key22&gt;NY R Paren&lt;/citation.key22&gt;&lt;citation.value22&gt;)&lt;/citation.value22&gt;&lt;citation.key23&gt;Reporter&lt;/citation.key23&gt;&lt;citation.value23&gt;490 U.S. 730, 749&lt;/citation.value23&gt;&lt;citation.key24&gt;Reporter.FirstPage&lt;/citation.key24&gt;&lt;citation.value24&gt;730&lt;/citation.value24&gt;&lt;citation.key25&gt;Reporter.Name&lt;/citation.key25&gt;&lt;citation.value25&gt;U.S.&lt;/citation.value25&gt;&lt;citation.key26&gt;Reporter.RequiredComma&lt;/citation.key26&gt;&lt;citation.value26&gt;, &lt;/citation.value26&gt;&lt;citation.key27&gt;Reporter.RequiredComma.Comma&lt;/citation.key27&gt;&lt;citation.value27&gt;,&lt;/citation.value27&gt;&lt;citation.key28&gt;Reporter.RequiredComma._Pattern&lt;/citation.key28&gt;&lt;citation.value28&gt;RequiredComma.RequiredComma&lt;/citation.value28&gt;&lt;citation.key29&gt;Reporter.Volume&lt;/citation.key29&gt;&lt;citation.value29&gt;490&lt;/citation.value29&gt;&lt;citation.key30&gt;Reporter.[&lt;/citation.key30&gt;&lt;citation.value30&gt;[&lt;/citation.value30&gt;&lt;citation.key31&gt;Reporter.]&lt;/citation.key31&gt;&lt;citation.value31&gt;]&lt;/citation.value31&gt;&lt;citation.key32&gt;Reporter._Pattern&lt;/citation.key32&gt;&lt;citation.value32&gt;Reporter.Reporter&lt;/citation.value32&gt;&lt;citation.key33&gt;Reporter.__PinPages&lt;/citation.key33&gt;&lt;citation.value33&gt;749&lt;/citation.value33&gt;&lt;citation.key34&gt;Reporter.__PinPages.First&lt;/citation.key34&gt;&lt;citation.value34&gt;749&lt;/citation.value34&gt;&lt;citation.key35&gt;Reporter.__PinPages.First._Pattern&lt;/citation.key35&gt;&lt;citation.value35&gt;FirstPageInRange.FirstPageInRange&lt;/citation.value35&gt;&lt;citation.key36&gt;Reporter.__PinPages.First.__PageNumber&lt;/citation.key36&gt;&lt;citation.value36&gt;749&lt;/citation.value36&gt;&lt;citation.key37&gt;Reporter.__PinPages._Pattern&lt;/citation.key37&gt;&lt;citation.value37&gt;PinPages.PinPages&lt;/citation.value37&gt;&lt;citation.key38&gt;Reporter.page&lt;/citation.key38&gt;&lt;citation.value38&gt;page&lt;/citation.value38&gt;&lt;citation.key39&gt;RequiredComma&lt;/citation.key39&gt;&lt;citation.value39&gt;, &lt;/citation.value39&gt;&lt;citation.key40&gt;RequiredComma._Pattern&lt;/citation.key40&gt;&lt;citation.value40&gt;RequiredComma.RequiredComma&lt;/citation.value40&gt;&lt;citation.key41&gt;SecondParty&lt;/citation.key41&gt;&lt;citation.value41&gt;Reid &lt;/citation.value41&gt;&lt;citation.key42&gt;supra&lt;/citation.key42&gt;&lt;citation.value42&gt;&lt;/citation.value42&gt;&lt;citation.key43&gt;supra.,&lt;/citation.key43&gt;&lt;citation.value43&gt;, &lt;/citation.value43&gt;&lt;citation.key44&gt;supra._Pattern&lt;/citation.key44&gt;&lt;citation.value44&gt;ShortCaseSupra.ShortCaseSupra&lt;/citation.value44&gt;&lt;citation.key45&gt;supra.supra&lt;/citation.key45&gt;&lt;citation.value45&gt;supra&lt;/citation.value45&gt;&lt;citation.key46&gt;v&lt;/citation.key46&gt;&lt;citation.value46&gt;v.&lt;/citation.value46&gt;&lt;/citation&gt;_x000a_"/>
    <w:docVar w:name="CITRUS_BOOKMARK41[0]" w:val="&lt;#1&gt;&lt;citation&gt;&lt;citation._original_string&gt;TMTV, Corp. v. Mass Productions, Inc.,645 F.3d 464  (1st Cir. 2011)&lt;/citation._original_string&gt;&lt;citation._current_string&gt;TMTV, Corp. v. Mass Prods., 645 F.3d 464 (1st Cir. 2011)&lt;/citation._current_string&gt;&lt;citation._full_string&gt;TMTV, Corp. v. Mass Prods., 645 F.3d 464 (1st Cir. 2011)&lt;/citation._full_string&gt;&lt;citation._current_format&gt;Full.CaseCitation&lt;/citation._current_format&gt;&lt;citation.name&gt;&lt;/citation.name&gt;&lt;citation.key0&gt;,&lt;/citation.key0&gt;&lt;citation.value0&gt;,&lt;/citation.value0&gt;&lt;citation.key1&gt;CaseName.FirstParty&lt;/citation.key1&gt;&lt;citation.value1&gt;TMTV, Corp.&lt;/citation.value1&gt;&lt;citation.key2&gt;CaseName.FirstParty.Party&lt;/citation.key2&gt;&lt;citation.value2&gt;TMTV, Corp.&lt;/citation.value2&gt;&lt;citation.key3&gt;CaseName.FirstParty._Pattern&lt;/citation.key3&gt;&lt;citation.value3&gt;Party.Party&lt;/citation.value3&gt;&lt;citation.key4&gt;CaseName.SecondParty&lt;/citation.key4&gt;&lt;citation.value4&gt;Mass Prods.&lt;/citation.value4&gt;&lt;citation.key5&gt;CaseName.SecondParty.Party&lt;/citation.key5&gt;&lt;citation.value5&gt;Mass Prods.&lt;/citation.value5&gt;&lt;citation.key6&gt;CaseName.SecondParty._Pattern&lt;/citation.key6&gt;&lt;citation.value6&gt;Party.Party&lt;/citation.value6&gt;&lt;citation.key7&gt;CaseName._Pattern&lt;/citation.key7&gt;&lt;citation.value7&gt;&lt;/citation.value7&gt;&lt;citation.key8&gt;CourtParenthetical&lt;/citation.key8&gt;&lt;citation.value8&gt; (1st Cir. 2011) &lt;/citation.value8&gt;&lt;citation.key9&gt;CourtParenthetical.CourtName&lt;/citation.key9&gt;&lt;citation.value9&gt;1st Cir. &lt;/citation.value9&gt;&lt;citation.key10&gt;CourtParenthetical.CourtName.CourtName&lt;/citation.key10&gt;&lt;citation.value10&gt;1st Cir.&lt;/citation.value10&gt;&lt;citation.key11&gt;CourtParenthetical.CourtName._Pattern&lt;/citation.key11&gt;&lt;citation.value11&gt;CourtName.CourtName&lt;/citation.value11&gt;&lt;citation.key12&gt;CourtParenthetical.Date.Year&lt;/citation.key12&gt;&lt;citation.value12&gt;2011&lt;/citation.value12&gt;&lt;citation.key13&gt;CourtParenthetical.Date.Year.Year&lt;/citation.key13&gt;&lt;citation.value13&gt;2011&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645 F.3d 464 &lt;/citation.value30&gt;&lt;citation.key31&gt;Reporter.FirstPage&lt;/citation.key31&gt;&lt;citation.value31&gt;464&lt;/citation.value31&gt;&lt;citation.key32&gt;Reporter.Name&lt;/citation.key32&gt;&lt;citation.value32&gt;F.3d&lt;/citation.value32&gt;&lt;citation.key33&gt;Reporter.Volume&lt;/citation.key33&gt;&lt;citation.value33&gt;645&lt;/citation.value33&gt;&lt;citation.key34&gt;Reporter.[&lt;/citation.key34&gt;&lt;citation.value34&gt;[&lt;/citation.value34&gt;&lt;citation.key35&gt;Reporter.]&lt;/citation.key35&gt;&lt;citation.value35&gt;]&lt;/citation.value35&gt;&lt;citation.key36&gt;Reporter._Pattern&lt;/citation.key36&gt;&lt;citation.value36&gt;Reporter.Reporter&lt;/citation.value36&gt;&lt;citation.key37&gt;Reporter.page&lt;/citation.key37&gt;&lt;citation.value37&gt;page&lt;/citation.value37&gt;&lt;citation.key38&gt;RequiredComma&lt;/citation.key38&gt;&lt;citation.value38&gt;, &lt;/citation.value38&gt;&lt;citation.key39&gt;RequiredComma._Pattern&lt;/citation.key39&gt;&lt;citation.value39&gt;RequiredComma.RequiredComma&lt;/citation.value39&gt;&lt;citation.key40&gt;supra&lt;/citation.key40&gt;&lt;citation.value40&gt;&lt;/citation.value40&gt;&lt;citation.key41&gt;supra.,&lt;/citation.key41&gt;&lt;citation.value41&gt;, &lt;/citation.value41&gt;&lt;citation.key42&gt;supra._Pattern&lt;/citation.key42&gt;&lt;citation.value42&gt;ShortCaseSupra.ShortCaseSupra&lt;/citation.value42&gt;&lt;citation.key43&gt;supra.supra&lt;/citation.key43&gt;&lt;citation.value43&gt;supra&lt;/citation.value43&gt;&lt;/citation&gt;_x000a_"/>
    <w:docVar w:name="CITRUS_BOOKMARK42[0]" w:val="&lt;#1&gt;&lt;citation&gt;&lt;citation._original_string&gt;Playboy Enters. v. Dumas,53 F.3d 549, 559  (2nd Cir. 1995)&lt;/citation._original_string&gt;&lt;citation._current_string&gt;Playboy Enters. v. Dumas, 53 F.3d 549, 559 (2d Cir. 1995)&lt;/citation._current_string&gt;&lt;citation._full_string&gt;Playboy Enters. v. Dumas, 53 F.3d 549, 559 (2d Cir. 1995)&lt;/citation._full_string&gt;&lt;citation._current_format&gt;Full.CaseCitation&lt;/citation._current_format&gt;&lt;citation.name&gt;&lt;/citation.name&gt;&lt;citation.key0&gt;,&lt;/citation.key0&gt;&lt;citation.value0&gt;,&lt;/citation.value0&gt;&lt;citation.key1&gt;CaseName.FirstParty&lt;/citation.key1&gt;&lt;citation.value1&gt;Playboy Enters.&lt;/citation.value1&gt;&lt;citation.key2&gt;CaseName.FirstParty.Party&lt;/citation.key2&gt;&lt;citation.value2&gt;Playboy Enters.&lt;/citation.value2&gt;&lt;citation.key3&gt;CaseName.FirstParty._Pattern&lt;/citation.key3&gt;&lt;citation.value3&gt;Party.Party&lt;/citation.value3&gt;&lt;citation.key4&gt;CaseName.SecondParty&lt;/citation.key4&gt;&lt;citation.value4&gt;Dumas&lt;/citation.value4&gt;&lt;citation.key5&gt;CaseName.SecondParty.Party&lt;/citation.key5&gt;&lt;citation.value5&gt;Dumas&lt;/citation.value5&gt;&lt;citation.key6&gt;CaseName.SecondParty._Pattern&lt;/citation.key6&gt;&lt;citation.value6&gt;Party.Party&lt;/citation.value6&gt;&lt;citation.key7&gt;CaseName._Pattern&lt;/citation.key7&gt;&lt;citation.value7&gt;&lt;/citation.value7&gt;&lt;citation.key8&gt;CourtParenthetical&lt;/citation.key8&gt;&lt;citation.value8&gt; (2d Cir. 1995) &lt;/citation.value8&gt;&lt;citation.key9&gt;CourtParenthetical.CourtName&lt;/citation.key9&gt;&lt;citation.value9&gt;2d Cir. &lt;/citation.value9&gt;&lt;citation.key10&gt;CourtParenthetical.CourtName.CourtName&lt;/citation.key10&gt;&lt;citation.value10&gt;2d Cir.&lt;/citation.value10&gt;&lt;citation.key11&gt;CourtParenthetical.CourtName._Pattern&lt;/citation.key11&gt;&lt;citation.value11&gt;CourtName.CourtName&lt;/citation.value11&gt;&lt;citation.key12&gt;CourtParenthetical.Date.Year&lt;/citation.key12&gt;&lt;citation.value12&gt;1995&lt;/citation.value12&gt;&lt;citation.key13&gt;CourtParenthetical.Date.Year.Year&lt;/citation.key13&gt;&lt;citation.value13&gt;199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3 F.3d 549, 559&lt;/citation.value30&gt;&lt;citation.key31&gt;Reporter.FirstPage&lt;/citation.key31&gt;&lt;citation.value31&gt;549&lt;/citation.value31&gt;&lt;citation.key32&gt;Reporter.Name&lt;/citation.key32&gt;&lt;citation.value32&gt;F.3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3&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559&lt;/citation.value40&gt;&lt;citation.key41&gt;Reporter.__PinPages.First&lt;/citation.key41&gt;&lt;citation.value41&gt;559&lt;/citation.value41&gt;&lt;citation.key42&gt;Reporter.__PinPages.First._Pattern&lt;/citation.key42&gt;&lt;citation.value42&gt;FirstPageInRange.FirstPageInRange&lt;/citation.value42&gt;&lt;citation.key43&gt;Reporter.__PinPages.First.__PageNumber&lt;/citation.key43&gt;&lt;citation.value43&gt;559&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44[0]" w:val="&lt;#1&gt;&lt;citation&gt;&lt;citation._original_string&gt;See Schiller &amp; Schmidt, Inc. v. Nordisco Corp., 969 F.2d 410, 412 (7th Cir. 1992)&lt;/citation._original_string&gt;&lt;citation._current_string&gt;See Schiller &amp; Schmidt v. Nordisco Corp., 969 F.2d 410, 412 (7th Cir. 1992)&lt;/citation._current_string&gt;&lt;citation._full_string&gt;see Schiller &amp; Schmidt v. Nordisco Corp., 969 F.2d 410, 412 (7th Cir. 1992)&lt;/citation._full_string&gt;&lt;citation._current_format&gt;Full.CaseCitation&lt;/citation._current_format&gt;&lt;citation.name&gt;&lt;/citation.name&gt;&lt;citation.key0&gt;,&lt;/citation.key0&gt;&lt;citation.value0&gt;,&lt;/citation.value0&gt;&lt;citation.key1&gt;CaseName.FirstParty&lt;/citation.key1&gt;&lt;citation.value1&gt;Schiller &amp; Schmidt&lt;/citation.value1&gt;&lt;citation.key2&gt;CaseName.FirstParty.Party&lt;/citation.key2&gt;&lt;citation.value2&gt;Schiller &amp; Schmidt&lt;/citation.value2&gt;&lt;citation.key3&gt;CaseName.FirstParty._Pattern&lt;/citation.key3&gt;&lt;citation.value3&gt;Party.Party&lt;/citation.value3&gt;&lt;citation.key4&gt;CaseName.SecondParty&lt;/citation.key4&gt;&lt;citation.value4&gt;Nordisco Corp.&lt;/citation.value4&gt;&lt;citation.key5&gt;CaseName.SecondParty.Party&lt;/citation.key5&gt;&lt;citation.value5&gt;Nordisco Corp.&lt;/citation.value5&gt;&lt;citation.key6&gt;CaseName.SecondParty._Pattern&lt;/citation.key6&gt;&lt;citation.value6&gt;Party.Party&lt;/citation.value6&gt;&lt;citation.key7&gt;CaseName._Pattern&lt;/citation.key7&gt;&lt;citation.value7&gt;&lt;/citation.value7&gt;&lt;citation.key8&gt;CourtParenthetical&lt;/citation.key8&gt;&lt;citation.value8&gt; (7th Cir. 1992) &lt;/citation.value8&gt;&lt;citation.key9&gt;CourtParenthetical.CourtName&lt;/citation.key9&gt;&lt;citation.value9&gt;7th Cir. &lt;/citation.value9&gt;&lt;citation.key10&gt;CourtParenthetical.CourtName.CourtName&lt;/citation.key10&gt;&lt;citation.value10&gt;7th Cir.&lt;/citation.value10&gt;&lt;citation.key11&gt;CourtParenthetical.CourtName._Pattern&lt;/citation.key11&gt;&lt;citation.value11&gt;CourtName.CourtName&lt;/citation.value11&gt;&lt;citation.key12&gt;CourtParenthetical.Date.Year&lt;/citation.key12&gt;&lt;citation.value12&gt;1992&lt;/citation.value12&gt;&lt;citation.key13&gt;CourtParenthetical.Date.Year.Year&lt;/citation.key13&gt;&lt;citation.value13&gt;1992&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969 F.2d 410, 412&lt;/citation.value30&gt;&lt;citation.key31&gt;Reporter.FirstPage&lt;/citation.key31&gt;&lt;citation.value31&gt;410&lt;/citation.value31&gt;&lt;citation.key32&gt;Reporter.Name&lt;/citation.key32&gt;&lt;citation.value32&gt;F.2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969&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412&lt;/citation.value40&gt;&lt;citation.key41&gt;Reporter.__PinPages.First&lt;/citation.key41&gt;&lt;citation.value41&gt;412&lt;/citation.value41&gt;&lt;citation.key42&gt;Reporter.__PinPages.First._Pattern&lt;/citation.key42&gt;&lt;citation.value42&gt;FirstPageInRange.FirstPageInRange&lt;/citation.value42&gt;&lt;citation.key43&gt;Reporter.__PinPages.First.__PageNumber&lt;/citation.key43&gt;&lt;citation.value43&gt;412&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__Signal&lt;/citation.key48&gt;&lt;citation.value48&gt;see &lt;/citation.value48&gt;&lt;citation.key49&gt;__Signal.ForbiddenComma._Pattern&lt;/citation.key49&gt;&lt;citation.value49&gt;ForbiddenComma.ForbiddenComma&lt;/citation.value49&gt;&lt;citation.key50&gt;__Signal.See&lt;/citation.key50&gt;&lt;citation.value50&gt;see&lt;/citation.value50&gt;&lt;citation.key51&gt;__Signal._Pattern&lt;/citation.key51&gt;&lt;citation.value51&gt;Signal.Signal&lt;/citation.value51&gt;&lt;citation.key52&gt;supra&lt;/citation.key52&gt;&lt;citation.value52&gt;&lt;/citation.value52&gt;&lt;citation.key53&gt;supra.,&lt;/citation.key53&gt;&lt;citation.value53&gt;, &lt;/citation.value53&gt;&lt;citation.key54&gt;supra._Pattern&lt;/citation.key54&gt;&lt;citation.value54&gt;ShortCaseSupra.ShortCaseSupra&lt;/citation.value54&gt;&lt;citation.key55&gt;supra.supra&lt;/citation.key55&gt;&lt;citation.value55&gt;supra&lt;/citation.value55&gt;&lt;/citation&gt;_x000a_"/>
    <w:docVar w:name="CITRUS_BOOKMARK45[0]" w:val="&lt;#1&gt;&lt;citation&gt;&lt;citation._original_string&gt;Schiller &amp; Schmidt v. Nordisco Corp., 969 F.2d 410, 412 (7th Cir. 1992)&lt;/citation._original_string&gt;&lt;citation._current_string&gt;Schiller &amp; Schmidt v. Nordisco Corp., 969 F.2d 410, 412 (7th Cir. 1992)&lt;/citation._current_string&gt;&lt;citation._full_string&gt;Schiller &amp; Schmidt v. Nordisco Corp., 969 F.2d 410, 412 (7th Cir. 1992)&lt;/citation._full_string&gt;&lt;citation._current_format&gt;Full.CaseCitation&lt;/citation._current_format&gt;&lt;citation.name&gt;&lt;/citation.name&gt;&lt;citation.key0&gt;,&lt;/citation.key0&gt;&lt;citation.value0&gt;,&lt;/citation.value0&gt;&lt;citation.key1&gt;CaseName&lt;/citation.key1&gt;&lt;citation.value1&gt;Schiller &amp; Schmidt v. Nordisco Corp. &lt;/citation.value1&gt;&lt;citation.key2&gt;CaseName.FirstParty&lt;/citation.key2&gt;&lt;citation.value2&gt;Schiller &amp; Schmidt &lt;/citation.value2&gt;&lt;citation.key3&gt;CaseName.FirstParty.Party&lt;/citation.key3&gt;&lt;citation.value3&gt;Schiller &amp; Schmidt&lt;/citation.value3&gt;&lt;citation.key4&gt;CaseName.FirstParty._Pattern&lt;/citation.key4&gt;&lt;citation.value4&gt;Party.Party&lt;/citation.value4&gt;&lt;citation.key5&gt;CaseName.SecondParty&lt;/citation.key5&gt;&lt;citation.value5&gt;Nordisco Corp. &lt;/citation.value5&gt;&lt;citation.key6&gt;CaseName.SecondParty.Party&lt;/citation.key6&gt;&lt;citation.value6&gt;Nordisco Corp.&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7th Cir. 1992) &lt;/citation.value10&gt;&lt;citation.key11&gt;CourtParenthetical.CourtName&lt;/citation.key11&gt;&lt;citation.value11&gt;7th Cir. &lt;/citation.value11&gt;&lt;citation.key12&gt;CourtParenthetical.CourtName.CourtName&lt;/citation.key12&gt;&lt;citation.value12&gt;7th Cir.&lt;/citation.value12&gt;&lt;citation.key13&gt;CourtParenthetical.CourtName._Pattern&lt;/citation.key13&gt;&lt;citation.value13&gt;CourtName.CourtName&lt;/citation.value13&gt;&lt;citation.key14&gt;CourtParenthetical.Date&lt;/citation.key14&gt;&lt;citation.value14&gt;1992 &lt;/citation.value14&gt;&lt;citation.key15&gt;CourtParenthetical.Date.Year&lt;/citation.key15&gt;&lt;citation.value15&gt;1992 &lt;/citation.value15&gt;&lt;citation.key16&gt;CourtParenthetical.Date.Year.Year&lt;/citation.key16&gt;&lt;citation.value16&gt;1992&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969 F.2d at 412&lt;/citation.value32&gt;&lt;citation.key33&gt;Reporter.FirstPage&lt;/citation.key33&gt;&lt;citation.value33&gt;410&lt;/citation.value33&gt;&lt;citation.key34&gt;Reporter.Name&lt;/citation.key34&gt;&lt;citation.value34&gt;F.2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969&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412&lt;/citation.value42&gt;&lt;citation.key43&gt;Reporter.__PinPages.First&lt;/citation.key43&gt;&lt;citation.value43&gt;412&lt;/citation.value43&gt;&lt;citation.key44&gt;Reporter.__PinPages.First._Pattern&lt;/citation.key44&gt;&lt;citation.value44&gt;FirstPageInRange.FirstPageInRange&lt;/citation.value44&gt;&lt;citation.key45&gt;Reporter.__PinPages.First.__PageNumber&lt;/citation.key45&gt;&lt;citation.value45&gt;412&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46[0]" w:val="&lt;#1&gt;&lt;citation&gt;&lt;citation._original_string&gt;Playboy, 53 F.3d at 559&lt;/citation._original_string&gt;&lt;citation._current_string&gt;Playboy Enters., 53 F.3d at 559&lt;/citation._current_string&gt;&lt;citation._full_string&gt;Playboy Enters. v. Dumas, 53 F.3d 549, 559 (2d Cir. 1995)&lt;/citation._full_string&gt;&lt;citation._current_format&gt;Short.ShortCaseCite&lt;/citation._current_format&gt;&lt;citation.name&gt;&lt;/citation.name&gt;&lt;citation.key0&gt;,&lt;/citation.key0&gt;&lt;citation.value0&gt;,&lt;/citation.value0&gt;&lt;citation.key1&gt;CaseName.FirstParty&lt;/citation.key1&gt;&lt;citation.value1&gt;Playboy Enters.&lt;/citation.value1&gt;&lt;citation.key2&gt;CaseName.FirstParty.Party&lt;/citation.key2&gt;&lt;citation.value2&gt;Playboy Enters.&lt;/citation.value2&gt;&lt;citation.key3&gt;CaseName.FirstParty._Pattern&lt;/citation.key3&gt;&lt;citation.value3&gt;Party.Party&lt;/citation.value3&gt;&lt;citation.key4&gt;CaseName.SecondParty&lt;/citation.key4&gt;&lt;citation.value4&gt;Dumas&lt;/citation.value4&gt;&lt;citation.key5&gt;CaseName.SecondParty.Party&lt;/citation.key5&gt;&lt;citation.value5&gt;Dumas&lt;/citation.value5&gt;&lt;citation.key6&gt;CaseName.SecondParty._Pattern&lt;/citation.key6&gt;&lt;citation.value6&gt;Party.Party&lt;/citation.value6&gt;&lt;citation.key7&gt;CaseName._Pattern&lt;/citation.key7&gt;&lt;citation.value7&gt;&lt;/citation.value7&gt;&lt;citation.key8&gt;CourtParenthetical&lt;/citation.key8&gt;&lt;citation.value8&gt; (2d Cir. 1995) &lt;/citation.value8&gt;&lt;citation.key9&gt;CourtParenthetical.CourtName&lt;/citation.key9&gt;&lt;citation.value9&gt;2d Cir. &lt;/citation.value9&gt;&lt;citation.key10&gt;CourtParenthetical.CourtName.CourtName&lt;/citation.key10&gt;&lt;citation.value10&gt;2d Cir.&lt;/citation.value10&gt;&lt;citation.key11&gt;CourtParenthetical.CourtName._Pattern&lt;/citation.key11&gt;&lt;citation.value11&gt;CourtName.CourtName&lt;/citation.value11&gt;&lt;citation.key12&gt;CourtParenthetical.Date.Year&lt;/citation.key12&gt;&lt;citation.value12&gt;1995&lt;/citation.value12&gt;&lt;citation.key13&gt;CourtParenthetical.Date.Year.Year&lt;/citation.key13&gt;&lt;citation.value13&gt;1995&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53 F.3d 549, 559&lt;/citation.value30&gt;&lt;citation.key31&gt;Reporter.FirstPage&lt;/citation.key31&gt;&lt;citation.value31&gt;549&lt;/citation.value31&gt;&lt;citation.key32&gt;Reporter.Name&lt;/citation.key32&gt;&lt;citation.value32&gt;F.3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53&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559&lt;/citation.value40&gt;&lt;citation.key41&gt;Reporter.__PinPages.First&lt;/citation.key41&gt;&lt;citation.value41&gt;559&lt;/citation.value41&gt;&lt;citation.key42&gt;Reporter.__PinPages.First._Pattern&lt;/citation.key42&gt;&lt;citation.value42&gt;FirstPageInRange.FirstPageInRange&lt;/citation.value42&gt;&lt;citation.key43&gt;Reporter.__PinPages.First.__PageNumber&lt;/citation.key43&gt;&lt;citation.value43&gt;559&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49[0]" w:val="&lt;#1&gt;&lt;citation&gt;&lt;citation._original_string&gt;TMTV, Corp. v. Mass Productions, Inc., 345 F.Supp. 2d 196, 206 (2004)&lt;/citation._original_string&gt;&lt;citation._current_string&gt;TMTV, Corp. v. Mass Prods., Inc., 345 F. Supp. 2d 196, 206 (D.P.R. 2004)&lt;/citation._current_string&gt;&lt;citation._full_string&gt;TMTV, Corp. v. Mass Prods., Inc., 345 F. Supp. 2d 196, 206 (D.P.R. 2004)&lt;/citation._full_string&gt;&lt;citation._current_format&gt;Full.CaseCitation&lt;/citation._current_format&gt;&lt;citation.name&gt;&lt;/citation.name&gt;&lt;citation.key0&gt;,&lt;/citation.key0&gt;&lt;citation.value0&gt;,&lt;/citation.value0&gt;&lt;citation.key1&gt;CaseName.FirstParty&lt;/citation.key1&gt;&lt;citation.value1&gt;TMTV, Corp.&lt;/citation.value1&gt;&lt;citation.key2&gt;CaseName.FirstParty.Party&lt;/citation.key2&gt;&lt;citation.value2&gt;TMTV, Corp.&lt;/citation.value2&gt;&lt;citation.key3&gt;CaseName.FirstParty._Pattern&lt;/citation.key3&gt;&lt;citation.value3&gt;Party.Party&lt;/citation.value3&gt;&lt;citation.key4&gt;CaseName.SecondParty&lt;/citation.key4&gt;&lt;citation.value4&gt;Mass Prods., Inc.&lt;/citation.value4&gt;&lt;citation.key5&gt;CaseName.SecondParty.Party&lt;/citation.key5&gt;&lt;citation.value5&gt;Mass Prods., Inc.&lt;/citation.value5&gt;&lt;citation.key6&gt;CaseName.SecondParty._Pattern&lt;/citation.key6&gt;&lt;citation.value6&gt;Party.Party&lt;/citation.value6&gt;&lt;citation.key7&gt;CaseName._Pattern&lt;/citation.key7&gt;&lt;citation.value7&gt;&lt;/citation.value7&gt;&lt;citation.key8&gt;CourtParenthetical&lt;/citation.key8&gt;&lt;citation.value8&gt; (D.P.R. 2004) &lt;/citation.value8&gt;&lt;citation.key9&gt;CourtParenthetical.CourtName&lt;/citation.key9&gt;&lt;citation.value9&gt;D.P.R.&lt;/citation.value9&gt;&lt;citation.key10&gt;CourtParenthetical.CourtName.CourtName&lt;/citation.key10&gt;&lt;citation.value10&gt;D.P.R.&lt;/citation.value10&gt;&lt;citation.key11&gt;CourtParenthetical.CourtName._Pattern&lt;/citation.key11&gt;&lt;citation.value11&gt;CourtName.CourtName&lt;/citation.value11&gt;&lt;citation.key12&gt;CourtParenthetical.Date.Year&lt;/citation.key12&gt;&lt;citation.value12&gt;2004&lt;/citation.value12&gt;&lt;citation.key13&gt;CourtParenthetical.Date.Year.Year&lt;/citation.key13&gt;&lt;citation.value13&gt;2004&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345 F. Supp. 2d 196, 206&lt;/citation.value30&gt;&lt;citation.key31&gt;Reporter.FirstPage&lt;/citation.key31&gt;&lt;citation.value31&gt;196&lt;/citation.value31&gt;&lt;citation.key32&gt;Reporter.Name&lt;/citation.key32&gt;&lt;citation.value32&gt;F. Supp. 2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345&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206&lt;/citation.value40&gt;&lt;citation.key41&gt;Reporter.__PinPages.First&lt;/citation.key41&gt;&lt;citation.value41&gt;206&lt;/citation.value41&gt;&lt;citation.key42&gt;Reporter.__PinPages.First._Pattern&lt;/citation.key42&gt;&lt;citation.value42&gt;FirstPageInRange.FirstPageInRange&lt;/citation.value42&gt;&lt;citation.key43&gt;Reporter.__PinPages.First.__PageNumber&lt;/citation.key43&gt;&lt;citation.value43&gt;206&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50[0]" w:val="&lt;#1&gt;&lt;citation&gt;&lt;citation._original_string&gt;Id&lt;/citation._original_string&gt;&lt;citation._current_string&gt;Id.&lt;/citation._current_string&gt;&lt;citation._full_string&gt;TMTV, Corp. v. Mass Prods., Inc., 345 F. Supp. 2d 196, 206 (D.P.R. 2004)&lt;/citation._full_string&gt;&lt;citation._current_format&gt;Id.CaseUId&lt;/citation._current_format&gt;&lt;citation.name&gt;&lt;/citation.name&gt;&lt;citation.key0&gt;,&lt;/citation.key0&gt;&lt;citation.value0&gt;,&lt;/citation.value0&gt;&lt;citation.key1&gt;CaseName.FirstParty&lt;/citation.key1&gt;&lt;citation.value1&gt;TMTV, Corp.&lt;/citation.value1&gt;&lt;citation.key2&gt;CaseName.FirstParty.Party&lt;/citation.key2&gt;&lt;citation.value2&gt;TMTV, Corp.&lt;/citation.value2&gt;&lt;citation.key3&gt;CaseName.FirstParty._Pattern&lt;/citation.key3&gt;&lt;citation.value3&gt;Party.Party&lt;/citation.value3&gt;&lt;citation.key4&gt;CaseName.SecondParty&lt;/citation.key4&gt;&lt;citation.value4&gt;Mass Prods., Inc.&lt;/citation.value4&gt;&lt;citation.key5&gt;CaseName.SecondParty.Party&lt;/citation.key5&gt;&lt;citation.value5&gt;Mass Prods., Inc.&lt;/citation.value5&gt;&lt;citation.key6&gt;CaseName.SecondParty._Pattern&lt;/citation.key6&gt;&lt;citation.value6&gt;Party.Party&lt;/citation.value6&gt;&lt;citation.key7&gt;CaseName._Pattern&lt;/citation.key7&gt;&lt;citation.value7&gt;&lt;/citation.value7&gt;&lt;citation.key8&gt;CourtParenthetical&lt;/citation.key8&gt;&lt;citation.value8&gt; (D.P.R. 2004) &lt;/citation.value8&gt;&lt;citation.key9&gt;CourtParenthetical.CourtName&lt;/citation.key9&gt;&lt;citation.value9&gt;D.P.R.&lt;/citation.value9&gt;&lt;citation.key10&gt;CourtParenthetical.CourtName.CourtName&lt;/citation.key10&gt;&lt;citation.value10&gt;D.P.R.&lt;/citation.value10&gt;&lt;citation.key11&gt;CourtParenthetical.CourtName._Pattern&lt;/citation.key11&gt;&lt;citation.value11&gt;CourtName.CourtName&lt;/citation.value11&gt;&lt;citation.key12&gt;CourtParenthetical.Date.Year&lt;/citation.key12&gt;&lt;citation.value12&gt;2004&lt;/citation.value12&gt;&lt;citation.key13&gt;CourtParenthetical.Date.Year.Year&lt;/citation.key13&gt;&lt;citation.value13&gt;2004&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ForbiddenComma._Pattern&lt;/citation.key26&gt;&lt;citation.value26&gt;ForbiddenComma.ForbiddenComma&lt;/citation.value26&gt;&lt;citation.key27&gt;Id.Id&lt;/citation.key27&gt;&lt;citation.value27&gt;Id.&lt;/citation.value27&gt;&lt;citation.key28&gt;Id._Pattern&lt;/citation.key28&gt;&lt;citation.value28&gt;IdGraph.IdGraph&lt;/citation.value28&gt;&lt;citation.key29&gt;NY L Paren&lt;/citation.key29&gt;&lt;citation.value29&gt;(&lt;/citation.value29&gt;&lt;citation.key30&gt;NY R Paren&lt;/citation.key30&gt;&lt;citation.value30&gt;)&lt;/citation.value30&gt;&lt;citation.key31&gt;Reporter&lt;/citation.key31&gt;&lt;citation.value31&gt;345 F. Supp. 2d 196, 206&lt;/citation.value31&gt;&lt;citation.key32&gt;Reporter.FirstPage&lt;/citation.key32&gt;&lt;citation.value32&gt;196&lt;/citation.value32&gt;&lt;citation.key33&gt;Reporter.Name&lt;/citation.key33&gt;&lt;citation.value33&gt;F. Supp. 2d&lt;/citation.value33&gt;&lt;citation.key34&gt;Reporter.RequiredComma&lt;/citation.key34&gt;&lt;citation.value34&gt;, &lt;/citation.value34&gt;&lt;citation.key35&gt;Reporter.RequiredComma.Comma&lt;/citation.key35&gt;&lt;citation.value35&gt;,&lt;/citation.value35&gt;&lt;citation.key36&gt;Reporter.RequiredComma._Pattern&lt;/citation.key36&gt;&lt;citation.value36&gt;RequiredComma.RequiredComma&lt;/citation.value36&gt;&lt;citation.key37&gt;Reporter.Volume&lt;/citation.key37&gt;&lt;citation.value37&gt;345&lt;/citation.value37&gt;&lt;citation.key38&gt;Reporter.[&lt;/citation.key38&gt;&lt;citation.value38&gt;[&lt;/citation.value38&gt;&lt;citation.key39&gt;Reporter.]&lt;/citation.key39&gt;&lt;citation.value39&gt;]&lt;/citation.value39&gt;&lt;citation.key40&gt;Reporter._Pattern&lt;/citation.key40&gt;&lt;citation.value40&gt;Reporter.Reporter&lt;/citation.value40&gt;&lt;citation.key41&gt;Reporter.__PinPages&lt;/citation.key41&gt;&lt;citation.value41&gt;206&lt;/citation.value41&gt;&lt;citation.key42&gt;Reporter.__PinPages.First&lt;/citation.key42&gt;&lt;citation.value42&gt;206&lt;/citation.value42&gt;&lt;citation.key43&gt;Reporter.__PinPages.First._Pattern&lt;/citation.key43&gt;&lt;citation.value43&gt;FirstPageInRange.FirstPageInRange&lt;/citation.value43&gt;&lt;citation.key44&gt;Reporter.__PinPages.First.__PageNumber&lt;/citation.key44&gt;&lt;citation.value44&gt;206&lt;/citation.value44&gt;&lt;citation.key45&gt;Reporter.__PinPages._Pattern&lt;/citation.key45&gt;&lt;citation.value45&gt;PinPages.PinPages&lt;/citation.value45&gt;&lt;citation.key46&gt;Reporter.page&lt;/citation.key46&gt;&lt;citation.value46&gt;page&lt;/citation.value46&gt;&lt;citation.key47&gt;RequiredComma&lt;/citation.key47&gt;&lt;citation.value47&gt;, &lt;/citation.value47&gt;&lt;citation.key48&gt;RequiredComma._Pattern&lt;/citation.key48&gt;&lt;citation.value48&gt;RequiredComma.RequiredComma&lt;/citation.value48&gt;&lt;citation.key49&gt;supra&lt;/citation.key49&gt;&lt;citation.value49&gt;&lt;/citation.value49&gt;&lt;citation.key50&gt;supra.,&lt;/citation.key50&gt;&lt;citation.value50&gt;, &lt;/citation.value50&gt;&lt;citation.key51&gt;supra._Pattern&lt;/citation.key51&gt;&lt;citation.value51&gt;ShortCaseSupra.ShortCaseSupra&lt;/citation.value51&gt;&lt;citation.key52&gt;supra.supra&lt;/citation.key52&gt;&lt;citation.value52&gt;supra&lt;/citation.value52&gt;&lt;/citation&gt;_x000a_"/>
    <w:docVar w:name="CITRUS_BOOKMARK53[0]" w:val="&lt;#1&gt;&lt;citation&gt;&lt;citation._original_string&gt;Compaq Computer Corp. v. Ergonome Inc., 210 F.Supp. 2d 839, 843 (2001)&lt;/citation._original_string&gt;&lt;citation._current_string&gt;Compaq Computer Corp. v. Ergonome Inc., 210 F. Supp. 2d 839, 843 (S.D. Tex. 2001)&lt;/citation._current_string&gt;&lt;citation._full_string&gt;Compaq Computer Corp. v. Ergonome Inc., 210 F. Supp. 2d 839, 843 (S.D. Tex. 2001)&lt;/citation._full_string&gt;&lt;citation._current_format&gt;Full.CaseCitation&lt;/citation._current_format&gt;&lt;citation.name&gt;&lt;/citation.name&gt;&lt;citation.key0&gt;,&lt;/citation.key0&gt;&lt;citation.value0&gt;,&lt;/citation.value0&gt;&lt;citation.key1&gt;CaseName.FirstParty&lt;/citation.key1&gt;&lt;citation.value1&gt;Compaq Computer Corp.&lt;/citation.value1&gt;&lt;citation.key2&gt;CaseName.FirstParty.Party&lt;/citation.key2&gt;&lt;citation.value2&gt;Compaq Computer Corp.&lt;/citation.value2&gt;&lt;citation.key3&gt;CaseName.FirstParty._Pattern&lt;/citation.key3&gt;&lt;citation.value3&gt;Party.Party&lt;/citation.value3&gt;&lt;citation.key4&gt;CaseName.SecondParty&lt;/citation.key4&gt;&lt;citation.value4&gt;Ergonome Inc.&lt;/citation.value4&gt;&lt;citation.key5&gt;CaseName.SecondParty.Party&lt;/citation.key5&gt;&lt;citation.value5&gt;Ergonome Inc.&lt;/citation.value5&gt;&lt;citation.key6&gt;CaseName.SecondParty._Pattern&lt;/citation.key6&gt;&lt;citation.value6&gt;Party.Party&lt;/citation.value6&gt;&lt;citation.key7&gt;CaseName._Pattern&lt;/citation.key7&gt;&lt;citation.value7&gt;&lt;/citation.value7&gt;&lt;citation.key8&gt;CourtParenthetical&lt;/citation.key8&gt;&lt;citation.value8&gt; (S.D. Tex. 2001) &lt;/citation.value8&gt;&lt;citation.key9&gt;CourtParenthetical.CourtName&lt;/citation.key9&gt;&lt;citation.value9&gt;S.D. Tex.&lt;/citation.value9&gt;&lt;citation.key10&gt;CourtParenthetical.CourtName.CourtName&lt;/citation.key10&gt;&lt;citation.value10&gt;S.D. Tex.&lt;/citation.value10&gt;&lt;citation.key11&gt;CourtParenthetical.CourtName._Pattern&lt;/citation.key11&gt;&lt;citation.value11&gt;CourtName.CourtName&lt;/citation.value11&gt;&lt;citation.key12&gt;CourtParenthetical.Date.Year&lt;/citation.key12&gt;&lt;citation.value12&gt;2001&lt;/citation.value12&gt;&lt;citation.key13&gt;CourtParenthetical.Date.Year.Year&lt;/citation.key13&gt;&lt;citation.value13&gt;2001&lt;/citation.value13&gt;&lt;citation.key14&gt;CourtParenthetical.Date.Year._Pattern&lt;/citation.key14&gt;&lt;citation.value14&gt;CourtParenthetical.Date.Year.Year&lt;/citation.value14&gt;&lt;citation.key15&gt;CourtParenthetical.Date._Pattern&lt;/citation.key15&gt;&lt;citation.value15&gt;CourtParenthetical.Date.Date&lt;/citation.value15&gt;&lt;citation.key16&gt;CourtParenthetical.ForbiddenComma._Pattern&lt;/citation.key16&gt;&lt;citation.value16&gt;ForbiddenComma.ForbiddenComma&lt;/citation.value16&gt;&lt;citation.key17&gt;CourtParenthetical.Switch ( [ L&lt;/citation.key17&gt;&lt;citation.value17&gt; (&lt;/citation.value17&gt;&lt;citation.key18&gt;CourtParenthetical.Switch ( [ L.(&lt;/citation.key18&gt;&lt;citation.value18&gt;(&lt;/citation.value18&gt;&lt;citation.key19&gt;CourtParenthetical.Switch ( [ L._Pattern&lt;/citation.key19&gt;&lt;citation.value19&gt;Switch ( [ L.Switch ( [ L&lt;/citation.value19&gt;&lt;citation.key20&gt;CourtParenthetical.Switch ) ] R&lt;/citation.key20&gt;&lt;citation.value20&gt;) &lt;/citation.value20&gt;&lt;citation.key21&gt;CourtParenthetical.Switch ) ] R.)&lt;/citation.key21&gt;&lt;citation.value21&gt;)&lt;/citation.value21&gt;&lt;citation.key22&gt;CourtParenthetical.Switch ) ] R._Pattern&lt;/citation.key22&gt;&lt;citation.value22&gt;Switch ) ] R.Switch ) ] R&lt;/citation.value22&gt;&lt;citation.key23&gt;CourtParenthetical._Pattern&lt;/citation.key23&gt;&lt;citation.value23&gt;CourtParenthetical.CourtParenthetical&lt;/citation.value23&gt;&lt;citation.key24&gt;HAS_AUTHORITATIVE_DATA&lt;/citation.key24&gt;&lt;citation.value24&gt;YES&lt;/citation.value24&gt;&lt;citation.key25&gt;Id&lt;/citation.key25&gt;&lt;citation.value25&gt;Id. &lt;/citation.value25&gt;&lt;citation.key26&gt;Id.Id&lt;/citation.key26&gt;&lt;citation.value26&gt;Id.&lt;/citation.value26&gt;&lt;citation.key27&gt;Id._Pattern&lt;/citation.key27&gt;&lt;citation.value27&gt;IdGraph.IdGraph&lt;/citation.value27&gt;&lt;citation.key28&gt;NY L Paren&lt;/citation.key28&gt;&lt;citation.value28&gt;(&lt;/citation.value28&gt;&lt;citation.key29&gt;NY R Paren&lt;/citation.key29&gt;&lt;citation.value29&gt;)&lt;/citation.value29&gt;&lt;citation.key30&gt;Reporter&lt;/citation.key30&gt;&lt;citation.value30&gt;210 F. Supp. 2d 839, 843&lt;/citation.value30&gt;&lt;citation.key31&gt;Reporter.FirstPage&lt;/citation.key31&gt;&lt;citation.value31&gt;839&lt;/citation.value31&gt;&lt;citation.key32&gt;Reporter.Name&lt;/citation.key32&gt;&lt;citation.value32&gt;F. Supp. 2d&lt;/citation.value32&gt;&lt;citation.key33&gt;Reporter.RequiredComma&lt;/citation.key33&gt;&lt;citation.value33&gt;, &lt;/citation.value33&gt;&lt;citation.key34&gt;Reporter.RequiredComma.Comma&lt;/citation.key34&gt;&lt;citation.value34&gt;,&lt;/citation.value34&gt;&lt;citation.key35&gt;Reporter.RequiredComma._Pattern&lt;/citation.key35&gt;&lt;citation.value35&gt;RequiredComma.RequiredComma&lt;/citation.value35&gt;&lt;citation.key36&gt;Reporter.Volume&lt;/citation.key36&gt;&lt;citation.value36&gt;210&lt;/citation.value36&gt;&lt;citation.key37&gt;Reporter.[&lt;/citation.key37&gt;&lt;citation.value37&gt;[&lt;/citation.value37&gt;&lt;citation.key38&gt;Reporter.]&lt;/citation.key38&gt;&lt;citation.value38&gt;]&lt;/citation.value38&gt;&lt;citation.key39&gt;Reporter._Pattern&lt;/citation.key39&gt;&lt;citation.value39&gt;Reporter.Reporter&lt;/citation.value39&gt;&lt;citation.key40&gt;Reporter.__PinPages&lt;/citation.key40&gt;&lt;citation.value40&gt;843&lt;/citation.value40&gt;&lt;citation.key41&gt;Reporter.__PinPages.First&lt;/citation.key41&gt;&lt;citation.value41&gt;843&lt;/citation.value41&gt;&lt;citation.key42&gt;Reporter.__PinPages.First._Pattern&lt;/citation.key42&gt;&lt;citation.value42&gt;FirstPageInRange.FirstPageInRange&lt;/citation.value42&gt;&lt;citation.key43&gt;Reporter.__PinPages.First.__PageNumber&lt;/citation.key43&gt;&lt;citation.value43&gt;843&lt;/citation.value43&gt;&lt;citation.key44&gt;Reporter.__PinPages._Pattern&lt;/citation.key44&gt;&lt;citation.value44&gt;PinPages.PinPages&lt;/citation.value44&gt;&lt;citation.key45&gt;Reporter.page&lt;/citation.key45&gt;&lt;citation.value45&gt;page&lt;/citation.value45&gt;&lt;citation.key46&gt;RequiredComma&lt;/citation.key46&gt;&lt;citation.value46&gt;, &lt;/citation.value46&gt;&lt;citation.key47&gt;RequiredComma._Pattern&lt;/citation.key47&gt;&lt;citation.value47&gt;RequiredComma.RequiredComma&lt;/citation.value47&gt;&lt;citation.key48&gt;supra&lt;/citation.key48&gt;&lt;citation.value48&gt;&lt;/citation.value48&gt;&lt;citation.key49&gt;supra.,&lt;/citation.key49&gt;&lt;citation.value49&gt;, &lt;/citation.value49&gt;&lt;citation.key50&gt;supra._Pattern&lt;/citation.key50&gt;&lt;citation.value50&gt;ShortCaseSupra.ShortCaseSupra&lt;/citation.value50&gt;&lt;citation.key51&gt;supra.supra&lt;/citation.key51&gt;&lt;citation.value51&gt;supra&lt;/citation.value51&gt;&lt;/citation&gt;_x000a_"/>
    <w:docVar w:name="CITRUS_BOOKMARK54[0]" w:val="&lt;#1&gt;&lt;citation&gt;&lt;citation._original_string&gt;Compaq Computer Corp. v. Ergonome Inc., 210 F. Supp. 2d 839, 843 (S.D. Tex. 2001)&lt;/citation._original_string&gt;&lt;citation._current_string&gt;Compaq Computer Corp. v. Ergonome Inc., 210 F. Supp. 2d 839, 843 (S.D. Tex. 2001)&lt;/citation._current_string&gt;&lt;citation._full_string&gt;Compaq Computer Corp. v. Ergonome Inc., 210 F. Supp. 2d 839, 843 (S.D. Tex. 2001)&lt;/citation._full_string&gt;&lt;citation._current_format&gt;Full.CaseCitation&lt;/citation._current_format&gt;&lt;citation.name&gt;&lt;/citation.name&gt;&lt;citation.key0&gt;,&lt;/citation.key0&gt;&lt;citation.value0&gt;,&lt;/citation.value0&gt;&lt;citation.key1&gt;CaseName&lt;/citation.key1&gt;&lt;citation.value1&gt;Compaq Computer Corp. v. Ergonome Inc. &lt;/citation.value1&gt;&lt;citation.key2&gt;CaseName.FirstParty&lt;/citation.key2&gt;&lt;citation.value2&gt;Compaq Computer Corp. &lt;/citation.value2&gt;&lt;citation.key3&gt;CaseName.FirstParty.Party&lt;/citation.key3&gt;&lt;citation.value3&gt;Compaq Computer Corp.&lt;/citation.value3&gt;&lt;citation.key4&gt;CaseName.FirstParty._Pattern&lt;/citation.key4&gt;&lt;citation.value4&gt;Party.Party&lt;/citation.value4&gt;&lt;citation.key5&gt;CaseName.SecondParty&lt;/citation.key5&gt;&lt;citation.value5&gt;Ergonome Inc. &lt;/citation.value5&gt;&lt;citation.key6&gt;CaseName.SecondParty.Party&lt;/citation.key6&gt;&lt;citation.value6&gt;Ergonome Inc.&lt;/citation.value6&gt;&lt;citation.key7&gt;CaseName.SecondParty._Pattern&lt;/citation.key7&gt;&lt;citation.value7&gt;Party.Party&lt;/citation.value7&gt;&lt;citation.key8&gt;CaseName._Pattern&lt;/citation.key8&gt;&lt;citation.value8&gt;ShortCaseName.ShortCaseName&lt;/citation.value8&gt;&lt;citation.key9&gt;CaseName.v&lt;/citation.key9&gt;&lt;citation.value9&gt;v.&lt;/citation.value9&gt;&lt;citation.key10&gt;CourtParenthetical&lt;/citation.key10&gt;&lt;citation.value10&gt; (S.D. Tex. 2001) &lt;/citation.value10&gt;&lt;citation.key11&gt;CourtParenthetical.CourtName&lt;/citation.key11&gt;&lt;citation.value11&gt;S.D. Tex. &lt;/citation.value11&gt;&lt;citation.key12&gt;CourtParenthetical.CourtName.CourtName&lt;/citation.key12&gt;&lt;citation.value12&gt;S.D. Tex.&lt;/citation.value12&gt;&lt;citation.key13&gt;CourtParenthetical.CourtName._Pattern&lt;/citation.key13&gt;&lt;citation.value13&gt;CourtName.CourtName&lt;/citation.value13&gt;&lt;citation.key14&gt;CourtParenthetical.Date&lt;/citation.key14&gt;&lt;citation.value14&gt;2001 &lt;/citation.value14&gt;&lt;citation.key15&gt;CourtParenthetical.Date.Year&lt;/citation.key15&gt;&lt;citation.value15&gt;2001 &lt;/citation.value15&gt;&lt;citation.key16&gt;CourtParenthetical.Date.Year.Year&lt;/citation.key16&gt;&lt;citation.value16&gt;2001&lt;/citation.value16&gt;&lt;citation.key17&gt;CourtParenthetical.Date.Year._Pattern&lt;/citation.key17&gt;&lt;citation.value17&gt;Year.Year&lt;/citation.value17&gt;&lt;citation.key18&gt;CourtParenthetical.Date._Pattern&lt;/citation.key18&gt;&lt;citation.value18&gt;Date.Date&lt;/citation.value18&gt;&lt;citation.key19&gt;CourtParenthetical.ForbiddenComma._Pattern&lt;/citation.key19&gt;&lt;citation.value19&gt;ForbiddenComma.ForbiddenComma&lt;/citation.value19&gt;&lt;citation.key20&gt;CourtParenthetical.Switch ( [ L&lt;/citation.key20&gt;&lt;citation.value20&gt; (&lt;/citation.value20&gt;&lt;citation.key21&gt;CourtParenthetical.Switch ( [ L.(&lt;/citation.key21&gt;&lt;citation.value21&gt;(&lt;/citation.value21&gt;&lt;citation.key22&gt;CourtParenthetical.Switch ( [ L._Pattern&lt;/citation.key22&gt;&lt;citation.value22&gt;Switch ( [ L.Switch ( [ L&lt;/citation.value22&gt;&lt;citation.key23&gt;CourtParenthetical.Switch ) ] R&lt;/citation.key23&gt;&lt;citation.value23&gt;) &lt;/citation.value23&gt;&lt;citation.key24&gt;CourtParenthetical.Switch ) ] R.)&lt;/citation.key24&gt;&lt;citation.value24&gt;)&lt;/citation.value24&gt;&lt;citation.key25&gt;CourtParenthetical.Switch ) ] R._Pattern&lt;/citation.key25&gt;&lt;citation.value25&gt;Switch ) ] R.Switch ) ] R&lt;/citation.value25&gt;&lt;citation.key26&gt;CourtParenthetical._Pattern&lt;/citation.key26&gt;&lt;citation.value26&gt;CourtParenthetical.CourtParenthetical&lt;/citation.value26&gt;&lt;citation.key27&gt;Id&lt;/citation.key27&gt;&lt;citation.value27&gt;Id. &lt;/citation.value27&gt;&lt;citation.key28&gt;Id.Id&lt;/citation.key28&gt;&lt;citation.value28&gt;Id.&lt;/citation.value28&gt;&lt;citation.key29&gt;Id._Pattern&lt;/citation.key29&gt;&lt;citation.value29&gt;IdGraph.IdGraph&lt;/citation.value29&gt;&lt;citation.key30&gt;NY L Paren&lt;/citation.key30&gt;&lt;citation.value30&gt;(&lt;/citation.value30&gt;&lt;citation.key31&gt;NY R Paren&lt;/citation.key31&gt;&lt;citation.value31&gt;)&lt;/citation.value31&gt;&lt;citation.key32&gt;Reporter&lt;/citation.key32&gt;&lt;citation.value32&gt;210 F. Supp. 2d at 843&lt;/citation.value32&gt;&lt;citation.key33&gt;Reporter.FirstPage&lt;/citation.key33&gt;&lt;citation.value33&gt;839&lt;/citation.value33&gt;&lt;citation.key34&gt;Reporter.Name&lt;/citation.key34&gt;&lt;citation.value34&gt;F. Supp. 2d&lt;/citation.value34&gt;&lt;citation.key35&gt;Reporter.RequiredComma&lt;/citation.key35&gt;&lt;citation.value35&gt;, &lt;/citation.value35&gt;&lt;citation.key36&gt;Reporter.RequiredComma.Comma&lt;/citation.key36&gt;&lt;citation.value36&gt;,&lt;/citation.value36&gt;&lt;citation.key37&gt;Reporter.RequiredComma._Pattern&lt;/citation.key37&gt;&lt;citation.value37&gt;RequiredComma.RequiredComma&lt;/citation.value37&gt;&lt;citation.key38&gt;Reporter.Volume&lt;/citation.key38&gt;&lt;citation.value38&gt;210&lt;/citation.value38&gt;&lt;citation.key39&gt;Reporter.[&lt;/citation.key39&gt;&lt;citation.value39&gt;[&lt;/citation.value39&gt;&lt;citation.key40&gt;Reporter.]&lt;/citation.key40&gt;&lt;citation.value40&gt;]&lt;/citation.value40&gt;&lt;citation.key41&gt;Reporter._Pattern&lt;/citation.key41&gt;&lt;citation.value41&gt;ShortReporter.ShortReporter&lt;/citation.value41&gt;&lt;citation.key42&gt;Reporter.__PinPages&lt;/citation.key42&gt;&lt;citation.value42&gt;843&lt;/citation.value42&gt;&lt;citation.key43&gt;Reporter.__PinPages.First&lt;/citation.key43&gt;&lt;citation.value43&gt;843&lt;/citation.value43&gt;&lt;citation.key44&gt;Reporter.__PinPages.First._Pattern&lt;/citation.key44&gt;&lt;citation.value44&gt;FirstPageInRange.FirstPageInRange&lt;/citation.value44&gt;&lt;citation.key45&gt;Reporter.__PinPages.First.__PageNumber&lt;/citation.key45&gt;&lt;citation.value45&gt;843&lt;/citation.value45&gt;&lt;citation.key46&gt;Reporter.__PinPages._Pattern&lt;/citation.key46&gt;&lt;citation.value46&gt;PinPages.PinPages&lt;/citation.value46&gt;&lt;citation.key47&gt;Reporter.page&lt;/citation.key47&gt;&lt;citation.value47&gt;page&lt;/citation.value47&gt;&lt;citation.key48&gt;RequiredComma&lt;/citation.key48&gt;&lt;citation.value48&gt;, &lt;/citation.value48&gt;&lt;citation.key49&gt;RequiredComma.Comma&lt;/citation.key49&gt;&lt;citation.value49&gt;,&lt;/citation.value49&gt;&lt;citation.key50&gt;RequiredComma._Pattern&lt;/citation.key50&gt;&lt;citation.value50&gt;RequiredComma.RequiredComma&lt;/citation.value50&gt;&lt;citation.key51&gt;supra&lt;/citation.key51&gt;&lt;citation.value51&gt;&lt;/citation.value51&gt;&lt;citation.key52&gt;supra.,&lt;/citation.key52&gt;&lt;citation.value52&gt;, &lt;/citation.value52&gt;&lt;citation.key53&gt;supra._Pattern&lt;/citation.key53&gt;&lt;citation.value53&gt;ShortCaseSupra.ShortCaseSupra&lt;/citation.value53&gt;&lt;citation.key54&gt;supra.supra&lt;/citation.key54&gt;&lt;citation.value54&gt;supra&lt;/citation.value54&gt;&lt;/citation&gt;_x000a_"/>
    <w:docVar w:name="CITRUS_BOOKMARK55[0]" w:val="&lt;#1&gt;&lt;citation&gt;&lt;citation._original_string&gt;108 Degrees, LLC v. Merrimack Golf Club, Inc., U.S. Dist. LEXIS 28560, 8 (2010)&lt;/citation._original_string&gt;&lt;citation._current_string&gt;108 Degrees, LLC v. Merrimack Golf Club, Inc., ?DATE OF PUBLICATION?, at ?PAGE?&lt;/citation._current_string&gt;&lt;citation._full_string&gt;108 Degrees, LLC v. Merrimack Golf Club, Inc., ?DATE OF PUBLICATION?, at ?PAGE?&lt;/citation._full_string&gt;&lt;citation._current_format&gt;Full.PeriodicalNP&lt;/citation._current_format&gt;&lt;citation.name&gt;&lt;/citation.name&gt;&lt;citation.key0&gt;ArticleTitle&lt;/citation.key0&gt;&lt;citation.value0&gt;108 Degrees, LLC v. Merrimack Golf Club&lt;/citation.value0&gt;&lt;citation.key1&gt;CommaAfterTitle&lt;/citation.key1&gt;&lt;citation.value1&gt;, &lt;/citation.value1&gt;&lt;citation.key2&gt;CommaAfterTitle.,&lt;/citation.key2&gt;&lt;citation.value2&gt;,&lt;/citation.value2&gt;&lt;citation.key3&gt;CommaAfterTitle._Pattern&lt;/citation.key3&gt;&lt;citation.value3&gt;CommaAfterTitle.CommaAfterTitle&lt;/citation.value3&gt;&lt;citation.key4&gt;Id&lt;/citation.key4&gt;&lt;citation.value4&gt;Id. &lt;/citation.value4&gt;&lt;citation.key5&gt;Id.Id&lt;/citation.key5&gt;&lt;citation.value5&gt;Id.&lt;/citation.value5&gt;&lt;citation.key6&gt;Id._Pattern&lt;/citation.key6&gt;&lt;citation.value6&gt;IdGraph.IdGraph&lt;/citation.value6&gt;&lt;citation.key7&gt;NonconsecutivelyPaginatedPeriodicalCitation&lt;/citation.key7&gt;&lt;citation.value7&gt;Inc., ?DATE OF PUBLICATION?, at ?PAGE?&lt;/citation.value7&gt;&lt;citation.key8&gt;NonconsecutivelyPaginatedPeriodicalCitation.DateOfPublication&lt;/citation.key8&gt;&lt;citation.value8&gt;?DATE OF PUBLICATION?&lt;/citation.value8&gt;&lt;citation.key9&gt;NonconsecutivelyPaginatedPeriodicalCitation.DateOfPublication.DateOfPublication&lt;/citation.key9&gt;&lt;citation.value9&gt;?DATE OF PUBLICATION?&lt;/citation.value9&gt;&lt;citation.key10&gt;NonconsecutivelyPaginatedPeriodicalCitation.DateOfPublication._Pattern&lt;/citation.key10&gt;&lt;citation.value10&gt;DateOfPublication.DateOfPublication&lt;/citation.value10&gt;&lt;citation.key11&gt;NonconsecutivelyPaginatedPeriodicalCitation.FirstPage&lt;/citation.key11&gt;&lt;citation.value11&gt;?PAGE?&lt;/citation.value11&gt;&lt;citation.key12&gt;NonconsecutivelyPaginatedPeriodicalCitation.FirstPage.PageNumber&lt;/citation.key12&gt;&lt;citation.value12&gt;?PAGE?&lt;/citation.value12&gt;&lt;citation.key13&gt;NonconsecutivelyPaginatedPeriodicalCitation.FirstPage._Pattern&lt;/citation.key13&gt;&lt;citation.value13&gt;FirstPageNumber.FirstPageNumber&lt;/citation.value13&gt;&lt;citation.key14&gt;NonconsecutivelyPaginatedPeriodicalCitation.PeriodicalName&lt;/citation.key14&gt;&lt;citation.value14&gt;Inc.&lt;/citation.value14&gt;&lt;citation.key15&gt;NonconsecutivelyPaginatedPeriodicalCitation.RequiredComma&lt;/citation.key15&gt;&lt;citation.value15&gt;, &lt;/citation.value15&gt;&lt;citation.key16&gt;NonconsecutivelyPaginatedPeriodicalCitation.RequiredComma.Comma&lt;/citation.key16&gt;&lt;citation.value16&gt;,&lt;/citation.value16&gt;&lt;citation.key17&gt;NonconsecutivelyPaginatedPeriodicalCitation.RequiredComma._Pattern&lt;/citation.key17&gt;&lt;citation.value17&gt;RequiredComma.RequiredComma&lt;/citation.value17&gt;&lt;citation.key18&gt;NonconsecutivelyPaginatedPeriodicalCitation._Pattern&lt;/citation.key18&gt;&lt;citation.value18&gt;NonconsecutivelyPaginatedPeriodicalCitation.NonconsecutivelyPaginatedPeriodicalCitation&lt;/citation.value18&gt;&lt;/citation&gt;_x000a_"/>
    <w:docVar w:name="CITRUS_BOOKMARK56[0]" w:val="&lt;#1&gt;&lt;citation&gt;&lt;citation._original_string&gt;108 Degrees, LLC v. Merrimack Golf Club, Inc., No. 09-cv-298-JL, 2010 U.S. Dist. LEXIS 28560, at *8 (DNH Mar. 25, 2010)&lt;/citation._original_string&gt;&lt;citation._current_string&gt;108 Degrees, L.L.C. v. Merrimack Golf Club, Inc., No. 09-cv-298-JL, 2010 U.S. Dist. LEXIS 28560, at *8 (D.N.H. 2010)&lt;/citation._current_string&gt;&lt;citation._full_string&gt;108 Degrees, L.L.C. v. Merrimack Golf Club, Inc., , No. 09-cv-298-JL, 2010 U.S. Dist. LEXIS 28560, at *8 (D.N.H. 2010)&lt;/citation._full_string&gt;&lt;citation._current_format&gt;Full.UnreportedCaseCitation&lt;/citation._current_format&gt;&lt;citation.name&gt;&lt;/citation.name&gt;&lt;citation.key0&gt;CaseName.FirstParty&lt;/citation.key0&gt;&lt;citation.value0&gt;108 Degrees, LLC&lt;/citation.value0&gt;&lt;citation.key1&gt;CaseName.FirstParty.Party&lt;/citation.key1&gt;&lt;citation.value1&gt;108 Degrees, LLC&lt;/citation.value1&gt;&lt;citation.key2&gt;CaseName.FirstParty._Pattern&lt;/citation.key2&gt;&lt;citation.value2&gt;Party.Party&lt;/citation.value2&gt;&lt;citation.key3&gt;CaseName.SecondParty&lt;/citation.key3&gt;&lt;citation.value3&gt;Merrimack Golf Club, Inc.&lt;/citation.value3&gt;&lt;citation.key4&gt;CaseName.SecondParty.Party&lt;/citation.key4&gt;&lt;citation.value4&gt;Merrimack Golf Club, Inc.&lt;/citation.value4&gt;&lt;citation.key5&gt;CaseName.SecondParty._Pattern&lt;/citation.key5&gt;&lt;citation.value5&gt;Party.Party&lt;/citation.value5&gt;&lt;citation.key6&gt;CaseName._Pattern&lt;/citation.key6&gt;&lt;citation.value6&gt;&lt;/citation.value6&gt;&lt;citation.key7&gt;CourtParenthetical&lt;/citation.key7&gt;&lt;citation.value7&gt; (D.N.H. 2010) &lt;/citation.value7&gt;&lt;citation.key8&gt;CourtParenthetical.CourtName&lt;/citation.key8&gt;&lt;citation.value8&gt;D.N.H. &lt;/citation.value8&gt;&lt;citation.key9&gt;CourtParenthetical.CourtName.CourtName&lt;/citation.key9&gt;&lt;citation.value9&gt;D.N.H.&lt;/citation.value9&gt;&lt;citation.key10&gt;CourtParenthetical.CourtName._Pattern&lt;/citation.key10&gt;&lt;citation.value10&gt;CourtName.CourtName&lt;/citation.value10&gt;&lt;citation.key11&gt;CourtParenthetical.Date.Year&lt;/citation.key11&gt;&lt;citation.value11&gt;2010&lt;/citation.value11&gt;&lt;citation.key12&gt;CourtParenthetical.Date.Year.Year&lt;/citation.key12&gt;&lt;citation.value12&gt;2010&lt;/citation.value12&gt;&lt;citation.key13&gt;CourtParenthetical.Date.Year._Pattern&lt;/citation.key13&gt;&lt;citation.value13&gt;CourtParenthetical.Date.Year.Year&lt;/citation.value13&gt;&lt;citation.key14&gt;CourtParenthetical.Date._Pattern&lt;/citation.key14&gt;&lt;citation.value14&gt;CourtParenthetical.Date.Date&lt;/citation.value14&gt;&lt;citation.key15&gt;CourtParenthetical.ForbiddenComma._Pattern&lt;/citation.key15&gt;&lt;citation.value15&gt;ForbiddenComma.ForbiddenComma&lt;/citation.value15&gt;&lt;citation.key16&gt;CourtParenthetical.Switch ( [ L&lt;/citation.key16&gt;&lt;citation.value16&gt; (&lt;/citation.value16&gt;&lt;citation.key17&gt;CourtParenthetical.Switch ( [ L.(&lt;/citation.key17&gt;&lt;citation.value17&gt;(&lt;/citation.value17&gt;&lt;citation.key18&gt;CourtParenthetical.Switch ( [ L._Pattern&lt;/citation.key18&gt;&lt;citation.value18&gt;Switch ( [ L.Switch ( [ L&lt;/citation.value18&gt;&lt;citation.key19&gt;CourtParenthetical.Switch ) ] R&lt;/citation.key19&gt;&lt;citation.value19&gt;) &lt;/citation.value19&gt;&lt;citation.key20&gt;CourtParenthetical.Switch ) ] R.)&lt;/citation.key20&gt;&lt;citation.value20&gt;)&lt;/citation.value20&gt;&lt;citation.key21&gt;CourtParenthetical.Switch ) ] R._Pattern&lt;/citation.key21&gt;&lt;citation.value21&gt;Switch ) ] R.Switch ) ] R&lt;/citation.value21&gt;&lt;citation.key22&gt;CourtParenthetical._Pattern&lt;/citation.key22&gt;&lt;citation.value22&gt;CourtParenthetical.CourtParenthetical&lt;/citation.value22&gt;&lt;citation.key23&gt;HAS_AUTHORITATIVE_DATA&lt;/citation.key23&gt;&lt;citation.value23&gt;YES&lt;/citation.value23&gt;&lt;citation.key24&gt;Id&lt;/citation.key24&gt;&lt;citation.value24&gt;Id. &lt;/citation.value24&gt;&lt;citation.key25&gt;Id.Id&lt;/citation.key25&gt;&lt;citation.value25&gt;Id.&lt;/citation.value25&gt;&lt;citation.key26&gt;Id._Pattern&lt;/citation.key26&gt;&lt;citation.value26&gt;IdGraph.IdGraph&lt;/citation.value26&gt;&lt;citation.key27&gt;RequiredComma&lt;/citation.key27&gt;&lt;citation.value27&gt;, &lt;/citation.value27&gt;&lt;citation.key28&gt;RequiredComma._Pattern&lt;/citation.key28&gt;&lt;citation.value28&gt;RequiredComma.RequiredComma&lt;/citation.value28&gt;&lt;citation.key29&gt;UnreportedCase&lt;/citation.key29&gt;&lt;citation.value29&gt;, No. 09-cv-298-JL, 2010 U.S. Dist. LEXIS 28560, at *8 &lt;/citation.value29&gt;&lt;citation.key30&gt;UnreportedCase.,&lt;/citation.key30&gt;&lt;citation.value30&gt;,&lt;/citation.value30&gt;&lt;citation.key31&gt;UnreportedCase.Database&lt;/citation.key31&gt;&lt;citation.value31&gt;2010 U.S. Dist. LEXIS 28560 &lt;/citation.value31&gt;&lt;citation.key32&gt;UnreportedCase.Database.DBReference&lt;/citation.key32&gt;&lt;citation.value32&gt;2010 U.S. Dist. LEXIS 28560 &lt;/citation.value32&gt;&lt;citation.key33&gt;UnreportedCase.Database.DBReference.DBNumber&lt;/citation.key33&gt;&lt;citation.value33&gt;28560&lt;/citation.value33&gt;&lt;citation.key34&gt;UnreportedCase.Database.DBReference.LexisDB&lt;/citation.key34&gt;&lt;citation.value34&gt;U.S. Dist. LEXIS&lt;/citation.value34&gt;&lt;citation.key35&gt;UnreportedCase.Database.DBReference.Year&lt;/citation.key35&gt;&lt;citation.value35&gt;2010 &lt;/citation.value35&gt;&lt;citation.key36&gt;UnreportedCase.Database.DBReference.Year.Year&lt;/citation.key36&gt;&lt;citation.value36&gt;2010&lt;/citation.value36&gt;&lt;citation.key37&gt;UnreportedCase.Database.DBReference.Year._Pattern&lt;/citation.key37&gt;&lt;citation.value37&gt;Year.Year&lt;/citation.value37&gt;&lt;citation.key38&gt;UnreportedCase.Database.DBReference._Pattern&lt;/citation.key38&gt;&lt;citation.value38&gt;Case_DatabaseReference.Case_DatabaseReference&lt;/citation.value38&gt;&lt;citation.key39&gt;UnreportedCase.Database._Pattern&lt;/citation.key39&gt;&lt;citation.value39&gt;Case_DatabaseList.Case_DatabaseList&lt;/citation.value39&gt;&lt;citation.key40&gt;UnreportedCase.DocketNumber&lt;/citation.key40&gt;&lt;citation.value40&gt;No. 09-cv-298-JL &lt;/citation.value40&gt;&lt;citation.key41&gt;UnreportedCase.DocketNumber.DocketNumber&lt;/citation.key41&gt;&lt;citation.value41&gt;09-cv-298-JL&lt;/citation.value41&gt;&lt;citation.key42&gt;UnreportedCase.DocketNumber.Number&lt;/citation.key42&gt;&lt;citation.value42&gt;No.&lt;/citation.value42&gt;&lt;citation.key43&gt;UnreportedCase.DocketNumber._Pattern&lt;/citation.key43&gt;&lt;citation.value43&gt;DocketNumber.DocketNumber&lt;/citation.value43&gt;&lt;citation.key44&gt;UnreportedCase.RequiredComma&lt;/citation.key44&gt;&lt;citation.value44&gt;, &lt;/citation.value44&gt;&lt;citation.key45&gt;UnreportedCase.RequiredComma.Comma&lt;/citation.key45&gt;&lt;citation.value45&gt;,&lt;/citation.value45&gt;&lt;citation.key46&gt;UnreportedCase.RequiredComma._Pattern&lt;/citation.key46&gt;&lt;citation.value46&gt;RequiredComma.RequiredComma&lt;/citation.value46&gt;&lt;citation.key47&gt;UnreportedCase._Pattern&lt;/citation.key47&gt;&lt;citation.value47&gt;UnreportedCase.UnreportedCase&lt;/citation.value47&gt;&lt;citation.key48&gt;UnreportedCase.__PinPages&lt;/citation.key48&gt;&lt;citation.value48&gt;*8 &lt;/citation.value48&gt;&lt;citation.key49&gt;UnreportedCase.__PinPages.Asterisk&lt;/citation.key49&gt;&lt;citation.value49&gt;*&lt;/citation.value49&gt;&lt;citation.key50&gt;UnreportedCase.__PinPages.First&lt;/citation.key50&gt;&lt;citation.value50&gt;8&lt;/citation.value50&gt;&lt;citation.key51&gt;UnreportedCase.__PinPages._Pattern&lt;/citation.key51&gt;&lt;citation.value51&gt;PinPagesDB.PinPagesDB&lt;/citation.value51&gt;&lt;citation.key52&gt;UnreportedCase.at&lt;/citation.key52&gt;&lt;citation.value52&gt;at&lt;/citation.value52&gt;&lt;/citation&gt;_x000a_"/>
    <w:docVar w:name="CITRUS_BOOKMARK57[0]" w:val="&lt;#1&gt;&lt;citation&gt;&lt;citation._original_string&gt;108 Degrees, L.L.C. v. Merrimack Golf Club, Inc., No. 09-cv-298-JL, 2010 U.S. Dist. LEXIS 28560, at *8 (D.N.H. 2010)&lt;/citation._original_string&gt;&lt;citation._current_string&gt;108 Degrees, L.L.C., No. 09-cv-298-JL&lt;/citation._current_string&gt;&lt;citation._full_string&gt;108 Degrees, L.L.C. v. Merrimack Golf Club, Inc., , No. 09-cv-298-JL, 2010 U.S. Dist. LEXIS 28560, at *8 (D.N.H. 2010)&lt;/citation._full_string&gt;&lt;citation._current_format&gt;Short.ShortUnreportedCaseCite&lt;/citation._current_format&gt;&lt;citation.name&gt;&lt;/citation.name&gt;&lt;citation.key0&gt;CaseName.FirstParty&lt;/citation.key0&gt;&lt;citation.value0&gt;108 Degrees, LLC&lt;/citation.value0&gt;&lt;citation.key1&gt;CaseName.FirstParty.Party&lt;/citation.key1&gt;&lt;citation.value1&gt;108 Degrees, LLC&lt;/citation.value1&gt;&lt;citation.key2&gt;CaseName.FirstParty._Pattern&lt;/citation.key2&gt;&lt;citation.value2&gt;Party.Party&lt;/citation.value2&gt;&lt;citation.key3&gt;CaseName.SecondParty&lt;/citation.key3&gt;&lt;citation.value3&gt;Merrimack Golf Club, Inc.&lt;/citation.value3&gt;&lt;citation.key4&gt;CaseName.SecondParty.Party&lt;/citation.key4&gt;&lt;citation.value4&gt;Merrimack Golf Club, Inc.&lt;/citation.value4&gt;&lt;citation.key5&gt;CaseName.SecondParty._Pattern&lt;/citation.key5&gt;&lt;citation.value5&gt;Party.Party&lt;/citation.value5&gt;&lt;citation.key6&gt;CaseName._Pattern&lt;/citation.key6&gt;&lt;citation.value6&gt;&lt;/citation.value6&gt;&lt;citation.key7&gt;CourtParenthetical&lt;/citation.key7&gt;&lt;citation.value7&gt; (D.N.H. 2010) &lt;/citation.value7&gt;&lt;citation.key8&gt;CourtParenthetical.CourtName&lt;/citation.key8&gt;&lt;citation.value8&gt;D.N.H. &lt;/citation.value8&gt;&lt;citation.key9&gt;CourtParenthetical.CourtName.CourtName&lt;/citation.key9&gt;&lt;citation.value9&gt;D.N.H.&lt;/citation.value9&gt;&lt;citation.key10&gt;CourtParenthetical.CourtName._Pattern&lt;/citation.key10&gt;&lt;citation.value10&gt;CourtName.CourtName&lt;/citation.value10&gt;&lt;citation.key11&gt;CourtParenthetical.Date.Year&lt;/citation.key11&gt;&lt;citation.value11&gt;2010&lt;/citation.value11&gt;&lt;citation.key12&gt;CourtParenthetical.Date.Year.Year&lt;/citation.key12&gt;&lt;citation.value12&gt;2010&lt;/citation.value12&gt;&lt;citation.key13&gt;CourtParenthetical.Date.Year._Pattern&lt;/citation.key13&gt;&lt;citation.value13&gt;CourtParenthetical.Date.Year.Year&lt;/citation.value13&gt;&lt;citation.key14&gt;CourtParenthetical.Date._Pattern&lt;/citation.key14&gt;&lt;citation.value14&gt;CourtParenthetical.Date.Date&lt;/citation.value14&gt;&lt;citation.key15&gt;CourtParenthetical.ForbiddenComma._Pattern&lt;/citation.key15&gt;&lt;citation.value15&gt;ForbiddenComma.ForbiddenComma&lt;/citation.value15&gt;&lt;citation.key16&gt;CourtParenthetical.Switch ( [ L&lt;/citation.key16&gt;&lt;citation.value16&gt; (&lt;/citation.value16&gt;&lt;citation.key17&gt;CourtParenthetical.Switch ( [ L.(&lt;/citation.key17&gt;&lt;citation.value17&gt;(&lt;/citation.value17&gt;&lt;citation.key18&gt;CourtParenthetical.Switch ( [ L._Pattern&lt;/citation.key18&gt;&lt;citation.value18&gt;Switch ( [ L.Switch ( [ L&lt;/citation.value18&gt;&lt;citation.key19&gt;CourtParenthetical.Switch ) ] R&lt;/citation.key19&gt;&lt;citation.value19&gt;) &lt;/citation.value19&gt;&lt;citation.key20&gt;CourtParenthetical.Switch ) ] R.)&lt;/citation.key20&gt;&lt;citation.value20&gt;)&lt;/citation.value20&gt;&lt;citation.key21&gt;CourtParenthetical.Switch ) ] R._Pattern&lt;/citation.key21&gt;&lt;citation.value21&gt;Switch ) ] R.Switch ) ] R&lt;/citation.value21&gt;&lt;citation.key22&gt;CourtParenthetical._Pattern&lt;/citation.key22&gt;&lt;citation.value22&gt;CourtParenthetical.CourtParenthetical&lt;/citation.value22&gt;&lt;citation.key23&gt;HAS_AUTHORITATIVE_DATA&lt;/citation.key23&gt;&lt;citation.value23&gt;YES&lt;/citation.value23&gt;&lt;citation.key24&gt;Id&lt;/citation.key24&gt;&lt;citation.value24&gt;Id. &lt;/citation.value24&gt;&lt;citation.key25&gt;Id.Id&lt;/citation.key25&gt;&lt;citation.value25&gt;Id.&lt;/citation.value25&gt;&lt;citation.key26&gt;Id._Pattern&lt;/citation.key26&gt;&lt;citation.value26&gt;IdGraph.IdGraph&lt;/citation.value26&gt;&lt;citation.key27&gt;RequiredComma&lt;/citation.key27&gt;&lt;citation.value27&gt;, &lt;/citation.value27&gt;&lt;citation.key28&gt;RequiredComma._Pattern&lt;/citation.key28&gt;&lt;citation.value28&gt;RequiredComma.RequiredComma&lt;/citation.value28&gt;&lt;citation.key29&gt;UnreportedCase&lt;/citation.key29&gt;&lt;citation.value29&gt;, No. 09-cv-298-JL, 2010 U.S. Dist. LEXIS 28560, at *8 &lt;/citation.value29&gt;&lt;citation.key30&gt;UnreportedCase.,&lt;/citation.key30&gt;&lt;citation.value30&gt;,&lt;/citation.value30&gt;&lt;citation.key31&gt;UnreportedCase.Database&lt;/citation.key31&gt;&lt;citation.value31&gt;2010 U.S. Dist. LEXIS 28560 &lt;/citation.value31&gt;&lt;citation.key32&gt;UnreportedCase.Database.DBReference&lt;/citation.key32&gt;&lt;citation.value32&gt;2010 U.S. Dist. LEXIS 28560 &lt;/citation.value32&gt;&lt;citation.key33&gt;UnreportedCase.Database.DBReference.DBNumber&lt;/citation.key33&gt;&lt;citation.value33&gt;28560&lt;/citation.value33&gt;&lt;citation.key34&gt;UnreportedCase.Database.DBReference.LexisDB&lt;/citation.key34&gt;&lt;citation.value34&gt;U.S. Dist. LEXIS&lt;/citation.value34&gt;&lt;citation.key35&gt;UnreportedCase.Database.DBReference.Year&lt;/citation.key35&gt;&lt;citation.value35&gt;2010 &lt;/citation.value35&gt;&lt;citation.key36&gt;UnreportedCase.Database.DBReference.Year.Year&lt;/citation.key36&gt;&lt;citation.value36&gt;2010&lt;/citation.value36&gt;&lt;citation.key37&gt;UnreportedCase.Database.DBReference.Year._Pattern&lt;/citation.key37&gt;&lt;citation.value37&gt;Year.Year&lt;/citation.value37&gt;&lt;citation.key38&gt;UnreportedCase.Database.DBReference._Pattern&lt;/citation.key38&gt;&lt;citation.value38&gt;Case_DatabaseReference.Case_DatabaseReference&lt;/citation.value38&gt;&lt;citation.key39&gt;UnreportedCase.Database._Pattern&lt;/citation.key39&gt;&lt;citation.value39&gt;Case_DatabaseList.Case_DatabaseList&lt;/citation.value39&gt;&lt;citation.key40&gt;UnreportedCase.DocketNumber&lt;/citation.key40&gt;&lt;citation.value40&gt;No. 09-cv-298-JL &lt;/citation.value40&gt;&lt;citation.key41&gt;UnreportedCase.DocketNumber.DocketNumber&lt;/citation.key41&gt;&lt;citation.value41&gt;09-cv-298-JL&lt;/citation.value41&gt;&lt;citation.key42&gt;UnreportedCase.DocketNumber.Number&lt;/citation.key42&gt;&lt;citation.value42&gt;No.&lt;/citation.value42&gt;&lt;citation.key43&gt;UnreportedCase.DocketNumber._Pattern&lt;/citation.key43&gt;&lt;citation.value43&gt;DocketNumber.DocketNumber&lt;/citation.value43&gt;&lt;citation.key44&gt;UnreportedCase.RequiredComma&lt;/citation.key44&gt;&lt;citation.value44&gt;, &lt;/citation.value44&gt;&lt;citation.key45&gt;UnreportedCase.RequiredComma.Comma&lt;/citation.key45&gt;&lt;citation.value45&gt;,&lt;/citation.value45&gt;&lt;citation.key46&gt;UnreportedCase.RequiredComma._Pattern&lt;/citation.key46&gt;&lt;citation.value46&gt;RequiredComma.RequiredComma&lt;/citation.value46&gt;&lt;citation.key47&gt;UnreportedCase._Pattern&lt;/citation.key47&gt;&lt;citation.value47&gt;UnreportedCase.UnreportedCase&lt;/citation.value47&gt;&lt;citation.key48&gt;UnreportedCase.__PinPages&lt;/citation.key48&gt;&lt;citation.value48&gt;*8 &lt;/citation.value48&gt;&lt;citation.key49&gt;UnreportedCase.__PinPages.Asterisk&lt;/citation.key49&gt;&lt;citation.value49&gt;*&lt;/citation.value49&gt;&lt;citation.key50&gt;UnreportedCase.__PinPages.First&lt;/citation.key50&gt;&lt;citation.value50&gt;8&lt;/citation.value50&gt;&lt;citation.key51&gt;UnreportedCase.__PinPages._Pattern&lt;/citation.key51&gt;&lt;citation.value51&gt;PinPagesDB.PinPagesDB&lt;/citation.value51&gt;&lt;citation.key52&gt;UnreportedCase.at&lt;/citation.key52&gt;&lt;citation.value52&gt;at&lt;/citation.value52&gt;&lt;/citation&gt;_x000a_"/>
    <w:docVar w:name="CITRUS_BOOKMARK58[0]" w:val="&lt;#1&gt;&lt;citation&gt;&lt;citation._original_string&gt;122 Cong. Rec. 31,282 (1976)&lt;/citation._original_string&gt;&lt;citation._current_string&gt;122 Cong. Rec. 31, 282 (1976)&lt;/citation._current_string&gt;&lt;citation._full_string&gt;122 Cong. Rec. 31, 282 (1976)&lt;/citation._full_string&gt;&lt;citation._current_format&gt;Full.Nonperiodical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NonperiodicalsEnd&lt;/citation.key3&gt;&lt;citation.value3&gt;31, 282 (1976) &lt;/citation.value3&gt;&lt;citation.key4&gt;NonperiodicalsEnd.(&lt;/citation.key4&gt;&lt;citation.value4&gt;(&lt;/citation.value4&gt;&lt;citation.key5&gt;NonperiodicalsEnd.)&lt;/citation.key5&gt;&lt;citation.value5&gt;)&lt;/citation.value5&gt;&lt;citation.key6&gt;NonperiodicalsEnd.ForbiddenComma._Pattern&lt;/citation.key6&gt;&lt;citation.value6&gt;ForbiddenComma.ForbiddenComma&lt;/citation.value6&gt;&lt;citation.key7&gt;NonperiodicalsEnd._Pattern&lt;/citation.key7&gt;&lt;citation.value7&gt;NonperiodicalsEnd.NonperiodicalsEnd&lt;/citation.value7&gt;&lt;citation.key8&gt;NonperiodicalsEnd.__PinPages&lt;/citation.key8&gt;&lt;citation.value8&gt;31, 282&lt;/citation.value8&gt;&lt;citation.key9&gt;NonperiodicalsEnd.__PinPages.First&lt;/citation.key9&gt;&lt;citation.value9&gt;31&lt;/citation.value9&gt;&lt;citation.key10&gt;NonperiodicalsEnd.__PinPages.First._Pattern&lt;/citation.key10&gt;&lt;citation.value10&gt;FirstPageInRange.FirstPageInRange&lt;/citation.value10&gt;&lt;citation.key11&gt;NonperiodicalsEnd.__PinPages.First.__PageNumber&lt;/citation.key11&gt;&lt;citation.value11&gt;31&lt;/citation.value11&gt;&lt;citation.key12&gt;NonperiodicalsEnd.__PinPages.RequiredComma&lt;/citation.key12&gt;&lt;citation.value12&gt;, &lt;/citation.value12&gt;&lt;citation.key13&gt;NonperiodicalsEnd.__PinPages.RequiredComma.Comma&lt;/citation.key13&gt;&lt;citation.value13&gt;,&lt;/citation.value13&gt;&lt;citation.key14&gt;NonperiodicalsEnd.__PinPages.RequiredComma._Pattern&lt;/citation.key14&gt;&lt;citation.value14&gt;RequiredComma.RequiredComma&lt;/citation.value14&gt;&lt;citation.key15&gt;NonperiodicalsEnd.__PinPages._Pattern&lt;/citation.key15&gt;&lt;citation.value15&gt;PinPages.PinPages&lt;/citation.value15&gt;&lt;citation.key16&gt;NonperiodicalsEnd.__PinPages.__PinPages&lt;/citation.key16&gt;&lt;citation.value16&gt;282&lt;/citation.value16&gt;&lt;citation.key17&gt;NonperiodicalsEnd.__PinPages.__PinPages.First&lt;/citation.key17&gt;&lt;citation.value17&gt;282&lt;/citation.value17&gt;&lt;citation.key18&gt;NonperiodicalsEnd.__PinPages.__PinPages.First._Pattern&lt;/citation.key18&gt;&lt;citation.value18&gt;FirstPageInRange.FirstPageInRange&lt;/citation.value18&gt;&lt;citation.key19&gt;NonperiodicalsEnd.__PinPages.__PinPages.First.__PageNumber&lt;/citation.key19&gt;&lt;citation.value19&gt;282&lt;/citation.value19&gt;&lt;citation.key20&gt;NonperiodicalsEnd.__PinPages.__PinPages._Pattern&lt;/citation.key20&gt;&lt;citation.value20&gt;PinPages.PinPages&lt;/citation.value20&gt;&lt;citation.key21&gt;NonperiodicalsEnd.__Year&lt;/citation.key21&gt;&lt;citation.value21&gt;1976 &lt;/citation.value21&gt;&lt;citation.key22&gt;NonperiodicalsEnd.__Year.Year&lt;/citation.key22&gt;&lt;citation.value22&gt;1976&lt;/citation.value22&gt;&lt;citation.key23&gt;NonperiodicalsEnd.__Year._Pattern&lt;/citation.key23&gt;&lt;citation.value23&gt;Year.Year&lt;/citation.value23&gt;&lt;citation.key24&gt;NonperiodicalsEnd.__at&lt;/citation.key24&gt;&lt;citation.value24&gt;at &lt;/citation.value24&gt;&lt;citation.key25&gt;Title&lt;/citation.key25&gt;&lt;citation.value25&gt;Cong. Rec.&lt;/citation.value25&gt;&lt;citation.key26&gt;__Volume&lt;/citation.key26&gt;&lt;citation.value26&gt;122&lt;/citation.value26&gt;&lt;/citation&gt;_x000a_"/>
    <w:docVar w:name="CITRUS_BOOKMARK59[0]" w:val="&lt;#1&gt;&lt;citation&gt;&lt;citation._original_string&gt;See S. 2044, 97th Cong., 2d Sess. (1982)&lt;/citation._original_string&gt;&lt;citation._current_string&gt;See S. 2044, 97th Cong., 2d Sess. (1982)&lt;/citation._current_string&gt;&lt;citation._full_string&gt;see S. 2044, 97th Cong., 2d Sess. (1982)&lt;/citation._full_string&gt;&lt;citation._current_format&gt;Full.Nonperiodical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NonperiodicalsEnd&lt;/citation.key3&gt;&lt;citation.value3&gt; (1982) &lt;/citation.value3&gt;&lt;citation.key4&gt;NonperiodicalsEnd.(&lt;/citation.key4&gt;&lt;citation.value4&gt;(&lt;/citation.value4&gt;&lt;citation.key5&gt;NonperiodicalsEnd.)&lt;/citation.key5&gt;&lt;citation.value5&gt;)&lt;/citation.value5&gt;&lt;citation.key6&gt;NonperiodicalsEnd._Pattern&lt;/citation.key6&gt;&lt;citation.value6&gt;NonperiodicalsEnd.NonperiodicalsEnd&lt;/citation.value6&gt;&lt;citation.key7&gt;NonperiodicalsEnd.__Year&lt;/citation.key7&gt;&lt;citation.value7&gt;1982 &lt;/citation.value7&gt;&lt;citation.key8&gt;NonperiodicalsEnd.__Year.Year&lt;/citation.key8&gt;&lt;citation.value8&gt;1982&lt;/citation.value8&gt;&lt;citation.key9&gt;NonperiodicalsEnd.__Year._Pattern&lt;/citation.key9&gt;&lt;citation.value9&gt;Year.Year&lt;/citation.value9&gt;&lt;citation.key10&gt;NonperiodicalsEnd.__at&lt;/citation.key10&gt;&lt;citation.value10&gt;at &lt;/citation.value10&gt;&lt;citation.key11&gt;Title&lt;/citation.key11&gt;&lt;citation.value11&gt;S. 2044, 97th Cong., 2d Sess.&lt;/citation.value11&gt;&lt;citation.key12&gt;__Signal&lt;/citation.key12&gt;&lt;citation.value12&gt;see &lt;/citation.value12&gt;&lt;citation.key13&gt;__Signal.ForbiddenComma._Pattern&lt;/citation.key13&gt;&lt;citation.value13&gt;ForbiddenComma.ForbiddenComma&lt;/citation.value13&gt;&lt;citation.key14&gt;__Signal.See&lt;/citation.key14&gt;&lt;citation.value14&gt;see&lt;/citation.value14&gt;&lt;citation.key15&gt;__Signal._Pattern&lt;/citation.key15&gt;&lt;citation.value15&gt;Signal.Signal&lt;/citation.value15&gt;&lt;/citation&gt;_x000a_"/>
    <w:docVar w:name="CITRUS_BOOKMARK60[0]" w:val="&lt;#1&gt;&lt;citation&gt;&lt;citation._original_string&gt;See S. 2044, 97th Cong., 2d Sess. (1982); S. 2138, 98th Cong., 1st Sess. (1983); S. 2330, 99th Cong., 2d Sess. (1986); S. 1253, 101st Cong., 1st Sess. (1989)&lt;/citation._original_string&gt;&lt;citation._current_string&gt;See S. 2044, 97th Cong., 2d Sess. (1982)&lt;/citation._current_string&gt;&lt;citation._full_string&gt;see S. 2044, 97th Cong., 2d Sess. (1982)&lt;/citation._full_string&gt;&lt;citation._current_format&gt;Full.Nonperiodical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NonperiodicalsEnd&lt;/citation.key3&gt;&lt;citation.value3&gt; (1982) &lt;/citation.value3&gt;&lt;citation.key4&gt;NonperiodicalsEnd.(&lt;/citation.key4&gt;&lt;citation.value4&gt;(&lt;/citation.value4&gt;&lt;citation.key5&gt;NonperiodicalsEnd.)&lt;/citation.key5&gt;&lt;citation.value5&gt;)&lt;/citation.value5&gt;&lt;citation.key6&gt;NonperiodicalsEnd._Pattern&lt;/citation.key6&gt;&lt;citation.value6&gt;NonperiodicalsEnd.NonperiodicalsEnd&lt;/citation.value6&gt;&lt;citation.key7&gt;NonperiodicalsEnd.__Year&lt;/citation.key7&gt;&lt;citation.value7&gt;1982 &lt;/citation.value7&gt;&lt;citation.key8&gt;NonperiodicalsEnd.__Year.Year&lt;/citation.key8&gt;&lt;citation.value8&gt;1982&lt;/citation.value8&gt;&lt;citation.key9&gt;NonperiodicalsEnd.__Year._Pattern&lt;/citation.key9&gt;&lt;citation.value9&gt;Year.Year&lt;/citation.value9&gt;&lt;citation.key10&gt;NonperiodicalsEnd.__at&lt;/citation.key10&gt;&lt;citation.value10&gt;at &lt;/citation.value10&gt;&lt;citation.key11&gt;Title&lt;/citation.key11&gt;&lt;citation.value11&gt;S. 2044, 97th Cong., 2d Sess.&lt;/citation.value11&gt;&lt;citation.key12&gt;__Signal&lt;/citation.key12&gt;&lt;citation.value12&gt;see &lt;/citation.value12&gt;&lt;citation.key13&gt;__Signal.ForbiddenComma._Pattern&lt;/citation.key13&gt;&lt;citation.value13&gt;ForbiddenComma.ForbiddenComma&lt;/citation.value13&gt;&lt;citation.key14&gt;__Signal.See&lt;/citation.key14&gt;&lt;citation.value14&gt;see&lt;/citation.value14&gt;&lt;citation.key15&gt;__Signal._Pattern&lt;/citation.key15&gt;&lt;citation.value15&gt;Signal.Signal&lt;/citation.value15&gt;&lt;/citation&gt;_x000a_"/>
    <w:docVar w:name="CITRUS_BOOKMARK61[0]" w:val="&lt;#1&gt;&lt;citation&gt;&lt;citation._original_string&gt;See S. 2044, 97th Cong., 2d Sess. (1982)&lt;/citation._original_string&gt;&lt;citation._current_string&gt;See S. 2044, 97th Cong., 2d Sess. (1982)&lt;/citation._current_string&gt;&lt;citation._full_string&gt;see S. 2044, 97th Cong., 2d Sess. (1982)&lt;/citation._full_string&gt;&lt;citation._current_format&gt;Full.Nonperiodicals&lt;/citation._current_format&gt;&lt;citation.name&gt;&lt;/citation.name&gt;&lt;citation.key0&gt;Id&lt;/citation.key0&gt;&lt;citation.value0&gt;Id. &lt;/citation.value0&gt;&lt;citation.key1&gt;Id.Id&lt;/citation.key1&gt;&lt;citation.value1&gt;Id.&lt;/citation.value1&gt;&lt;citation.key2&gt;Id._Pattern&lt;/citation.key2&gt;&lt;citation.value2&gt;IdGraph.IdGraph&lt;/citation.value2&gt;&lt;citation.key3&gt;NonperiodicalsEnd&lt;/citation.key3&gt;&lt;citation.value3&gt; (1982) &lt;/citation.value3&gt;&lt;citation.key4&gt;NonperiodicalsEnd.(&lt;/citation.key4&gt;&lt;citation.value4&gt;(&lt;/citation.value4&gt;&lt;citation.key5&gt;NonperiodicalsEnd.)&lt;/citation.key5&gt;&lt;citation.value5&gt;)&lt;/citation.value5&gt;&lt;citation.key6&gt;NonperiodicalsEnd._Pattern&lt;/citation.key6&gt;&lt;citation.value6&gt;NonperiodicalsEnd.NonperiodicalsEnd&lt;/citation.value6&gt;&lt;citation.key7&gt;NonperiodicalsEnd.__Year&lt;/citation.key7&gt;&lt;citation.value7&gt;1982 &lt;/citation.value7&gt;&lt;citation.key8&gt;NonperiodicalsEnd.__Year.Year&lt;/citation.key8&gt;&lt;citation.value8&gt;1982&lt;/citation.value8&gt;&lt;citation.key9&gt;NonperiodicalsEnd.__Year._Pattern&lt;/citation.key9&gt;&lt;citation.value9&gt;Year.Year&lt;/citation.value9&gt;&lt;citation.key10&gt;NonperiodicalsEnd.__at&lt;/citation.key10&gt;&lt;citation.value10&gt;at &lt;/citation.value10&gt;&lt;citation.key11&gt;Title&lt;/citation.key11&gt;&lt;citation.value11&gt;S. 2044, 97th Cong., 2d Sess.&lt;/citation.value11&gt;&lt;citation.key12&gt;__Signal&lt;/citation.key12&gt;&lt;citation.value12&gt;see &lt;/citation.value12&gt;&lt;citation.key13&gt;__Signal.ForbiddenComma._Pattern&lt;/citation.key13&gt;&lt;citation.value13&gt;ForbiddenComma.ForbiddenComma&lt;/citation.value13&gt;&lt;citation.key14&gt;__Signal.See&lt;/citation.key14&gt;&lt;citation.value14&gt;see&lt;/citation.value14&gt;&lt;citation.key15&gt;__Signal._Pattern&lt;/citation.key15&gt;&lt;citation.value15&gt;Signal.Signal&lt;/citation.value15&gt;&lt;/citation&gt;_x000a_"/>
  </w:docVars>
  <w:rsids>
    <w:rsidRoot w:val="003D7AFC"/>
    <w:rsid w:val="00016774"/>
    <w:rsid w:val="00025008"/>
    <w:rsid w:val="00027BE9"/>
    <w:rsid w:val="000547BB"/>
    <w:rsid w:val="000716F5"/>
    <w:rsid w:val="00072130"/>
    <w:rsid w:val="00072224"/>
    <w:rsid w:val="00076353"/>
    <w:rsid w:val="00080B0C"/>
    <w:rsid w:val="00080ECB"/>
    <w:rsid w:val="000857D7"/>
    <w:rsid w:val="000A1DE6"/>
    <w:rsid w:val="000B11DD"/>
    <w:rsid w:val="000D0C5D"/>
    <w:rsid w:val="000D6CC5"/>
    <w:rsid w:val="00101358"/>
    <w:rsid w:val="001162FA"/>
    <w:rsid w:val="0012223E"/>
    <w:rsid w:val="00122A87"/>
    <w:rsid w:val="00124A32"/>
    <w:rsid w:val="001502F9"/>
    <w:rsid w:val="00151335"/>
    <w:rsid w:val="001675F6"/>
    <w:rsid w:val="001748BB"/>
    <w:rsid w:val="0017565D"/>
    <w:rsid w:val="00176EF1"/>
    <w:rsid w:val="00185E0B"/>
    <w:rsid w:val="00194AA4"/>
    <w:rsid w:val="00196CBC"/>
    <w:rsid w:val="001B4406"/>
    <w:rsid w:val="001B5A70"/>
    <w:rsid w:val="001C45C0"/>
    <w:rsid w:val="001D068A"/>
    <w:rsid w:val="001F3FB5"/>
    <w:rsid w:val="00225B4E"/>
    <w:rsid w:val="00231B1E"/>
    <w:rsid w:val="00240583"/>
    <w:rsid w:val="0025094A"/>
    <w:rsid w:val="00256215"/>
    <w:rsid w:val="00281E13"/>
    <w:rsid w:val="0028238E"/>
    <w:rsid w:val="00283B7D"/>
    <w:rsid w:val="002854EC"/>
    <w:rsid w:val="002912A0"/>
    <w:rsid w:val="002C23E7"/>
    <w:rsid w:val="002D5DC8"/>
    <w:rsid w:val="002E1173"/>
    <w:rsid w:val="00302AC9"/>
    <w:rsid w:val="00306ECD"/>
    <w:rsid w:val="00317A93"/>
    <w:rsid w:val="00344D1F"/>
    <w:rsid w:val="003577D7"/>
    <w:rsid w:val="00361F0B"/>
    <w:rsid w:val="003676BA"/>
    <w:rsid w:val="003732E8"/>
    <w:rsid w:val="003B2F88"/>
    <w:rsid w:val="003B60FF"/>
    <w:rsid w:val="003C3B44"/>
    <w:rsid w:val="003D7AFC"/>
    <w:rsid w:val="003E05B4"/>
    <w:rsid w:val="00402253"/>
    <w:rsid w:val="00402D87"/>
    <w:rsid w:val="0042367D"/>
    <w:rsid w:val="00426CA5"/>
    <w:rsid w:val="00427A13"/>
    <w:rsid w:val="00430652"/>
    <w:rsid w:val="00430D79"/>
    <w:rsid w:val="00442516"/>
    <w:rsid w:val="004556C5"/>
    <w:rsid w:val="00486748"/>
    <w:rsid w:val="00487AED"/>
    <w:rsid w:val="004935CF"/>
    <w:rsid w:val="004C76A5"/>
    <w:rsid w:val="004D75E8"/>
    <w:rsid w:val="004E3A2A"/>
    <w:rsid w:val="005119EA"/>
    <w:rsid w:val="00545E0D"/>
    <w:rsid w:val="0055279B"/>
    <w:rsid w:val="00566905"/>
    <w:rsid w:val="00571BAF"/>
    <w:rsid w:val="00596F35"/>
    <w:rsid w:val="00605A7B"/>
    <w:rsid w:val="00612190"/>
    <w:rsid w:val="00616771"/>
    <w:rsid w:val="006242B9"/>
    <w:rsid w:val="00645BF4"/>
    <w:rsid w:val="00645E3A"/>
    <w:rsid w:val="00646FEF"/>
    <w:rsid w:val="006709DB"/>
    <w:rsid w:val="0067122B"/>
    <w:rsid w:val="00674047"/>
    <w:rsid w:val="00685AD9"/>
    <w:rsid w:val="0069275C"/>
    <w:rsid w:val="006A5997"/>
    <w:rsid w:val="006A61CE"/>
    <w:rsid w:val="006D28C9"/>
    <w:rsid w:val="006D5076"/>
    <w:rsid w:val="006E483E"/>
    <w:rsid w:val="006F6169"/>
    <w:rsid w:val="00717588"/>
    <w:rsid w:val="00726F46"/>
    <w:rsid w:val="007351FE"/>
    <w:rsid w:val="0077449E"/>
    <w:rsid w:val="00791BCB"/>
    <w:rsid w:val="007B6A2F"/>
    <w:rsid w:val="007D33C6"/>
    <w:rsid w:val="007F64C7"/>
    <w:rsid w:val="007F7F0B"/>
    <w:rsid w:val="00816722"/>
    <w:rsid w:val="00820BB8"/>
    <w:rsid w:val="0082599F"/>
    <w:rsid w:val="0083494F"/>
    <w:rsid w:val="0084587F"/>
    <w:rsid w:val="00865CA5"/>
    <w:rsid w:val="00874D4B"/>
    <w:rsid w:val="00887210"/>
    <w:rsid w:val="008A0228"/>
    <w:rsid w:val="008A02A4"/>
    <w:rsid w:val="008C2D10"/>
    <w:rsid w:val="008D5E06"/>
    <w:rsid w:val="008E33E6"/>
    <w:rsid w:val="008E6AF8"/>
    <w:rsid w:val="008F1349"/>
    <w:rsid w:val="00901CD4"/>
    <w:rsid w:val="0092383D"/>
    <w:rsid w:val="00947ED6"/>
    <w:rsid w:val="00965D90"/>
    <w:rsid w:val="00965EFF"/>
    <w:rsid w:val="00967740"/>
    <w:rsid w:val="00976653"/>
    <w:rsid w:val="0098427E"/>
    <w:rsid w:val="009844AF"/>
    <w:rsid w:val="0098519F"/>
    <w:rsid w:val="009A3AA5"/>
    <w:rsid w:val="009A6F22"/>
    <w:rsid w:val="009B7C41"/>
    <w:rsid w:val="009F2348"/>
    <w:rsid w:val="009F2390"/>
    <w:rsid w:val="009F31E1"/>
    <w:rsid w:val="00A127D8"/>
    <w:rsid w:val="00A14109"/>
    <w:rsid w:val="00A32FA8"/>
    <w:rsid w:val="00A3733E"/>
    <w:rsid w:val="00A46239"/>
    <w:rsid w:val="00A534BF"/>
    <w:rsid w:val="00A66712"/>
    <w:rsid w:val="00A77C8F"/>
    <w:rsid w:val="00A8750D"/>
    <w:rsid w:val="00AD5D91"/>
    <w:rsid w:val="00AE0F54"/>
    <w:rsid w:val="00B00271"/>
    <w:rsid w:val="00B0171E"/>
    <w:rsid w:val="00B03722"/>
    <w:rsid w:val="00B074B7"/>
    <w:rsid w:val="00B33EB4"/>
    <w:rsid w:val="00B55111"/>
    <w:rsid w:val="00B651FF"/>
    <w:rsid w:val="00B73988"/>
    <w:rsid w:val="00B93835"/>
    <w:rsid w:val="00BB4EDA"/>
    <w:rsid w:val="00BC26A3"/>
    <w:rsid w:val="00BD4F04"/>
    <w:rsid w:val="00BD7D0A"/>
    <w:rsid w:val="00BE2D36"/>
    <w:rsid w:val="00BE428A"/>
    <w:rsid w:val="00BE7FC5"/>
    <w:rsid w:val="00BF18B6"/>
    <w:rsid w:val="00C01AE2"/>
    <w:rsid w:val="00C1088C"/>
    <w:rsid w:val="00C164D8"/>
    <w:rsid w:val="00C22A1B"/>
    <w:rsid w:val="00C247D0"/>
    <w:rsid w:val="00C55DAE"/>
    <w:rsid w:val="00C560F3"/>
    <w:rsid w:val="00C60468"/>
    <w:rsid w:val="00C66C98"/>
    <w:rsid w:val="00C70DCA"/>
    <w:rsid w:val="00C7450C"/>
    <w:rsid w:val="00C75509"/>
    <w:rsid w:val="00C772AD"/>
    <w:rsid w:val="00C90E24"/>
    <w:rsid w:val="00CA7631"/>
    <w:rsid w:val="00CB163A"/>
    <w:rsid w:val="00CC05E4"/>
    <w:rsid w:val="00CC3F84"/>
    <w:rsid w:val="00D01ACE"/>
    <w:rsid w:val="00D1354C"/>
    <w:rsid w:val="00D305C8"/>
    <w:rsid w:val="00D32DA8"/>
    <w:rsid w:val="00D350DA"/>
    <w:rsid w:val="00D4002B"/>
    <w:rsid w:val="00D44AE0"/>
    <w:rsid w:val="00D535DF"/>
    <w:rsid w:val="00D54F4A"/>
    <w:rsid w:val="00D64C8B"/>
    <w:rsid w:val="00D82574"/>
    <w:rsid w:val="00D86262"/>
    <w:rsid w:val="00D87C58"/>
    <w:rsid w:val="00D9030E"/>
    <w:rsid w:val="00D96FA9"/>
    <w:rsid w:val="00DC2C13"/>
    <w:rsid w:val="00DC7008"/>
    <w:rsid w:val="00DC7AD6"/>
    <w:rsid w:val="00DD4020"/>
    <w:rsid w:val="00DF3AD4"/>
    <w:rsid w:val="00DF6291"/>
    <w:rsid w:val="00E046DA"/>
    <w:rsid w:val="00E20A35"/>
    <w:rsid w:val="00E27B2A"/>
    <w:rsid w:val="00E31AE0"/>
    <w:rsid w:val="00E3313A"/>
    <w:rsid w:val="00E37218"/>
    <w:rsid w:val="00E475B8"/>
    <w:rsid w:val="00E519DB"/>
    <w:rsid w:val="00E7020D"/>
    <w:rsid w:val="00E80A33"/>
    <w:rsid w:val="00E8511F"/>
    <w:rsid w:val="00E912DE"/>
    <w:rsid w:val="00EA15B3"/>
    <w:rsid w:val="00EB3A67"/>
    <w:rsid w:val="00EC5791"/>
    <w:rsid w:val="00EF1857"/>
    <w:rsid w:val="00EF5F14"/>
    <w:rsid w:val="00F0770B"/>
    <w:rsid w:val="00F351D2"/>
    <w:rsid w:val="00F36832"/>
    <w:rsid w:val="00F53365"/>
    <w:rsid w:val="00F60214"/>
    <w:rsid w:val="00F65A9E"/>
    <w:rsid w:val="00F810C4"/>
    <w:rsid w:val="00F851F9"/>
    <w:rsid w:val="00FA1A7E"/>
    <w:rsid w:val="00FA5AEB"/>
    <w:rsid w:val="00FA663F"/>
    <w:rsid w:val="00FB1805"/>
    <w:rsid w:val="00FB5F5C"/>
    <w:rsid w:val="00FB77DC"/>
    <w:rsid w:val="00FD08A7"/>
    <w:rsid w:val="00FE66BB"/>
    <w:rsid w:val="00FF29B7"/>
    <w:rsid w:val="00FF2ECE"/>
    <w:rsid w:val="00FF4E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DAB2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912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912A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912A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912A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912A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12A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912A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912A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912A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5076"/>
    <w:pPr>
      <w:ind w:left="720"/>
      <w:contextualSpacing/>
    </w:pPr>
  </w:style>
  <w:style w:type="paragraph" w:styleId="Header">
    <w:name w:val="header"/>
    <w:basedOn w:val="Normal"/>
    <w:link w:val="HeaderChar"/>
    <w:uiPriority w:val="99"/>
    <w:unhideWhenUsed/>
    <w:rsid w:val="00FA5A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5AEB"/>
  </w:style>
  <w:style w:type="paragraph" w:styleId="Footer">
    <w:name w:val="footer"/>
    <w:basedOn w:val="Normal"/>
    <w:link w:val="FooterChar"/>
    <w:uiPriority w:val="99"/>
    <w:unhideWhenUsed/>
    <w:rsid w:val="00FA5A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5AEB"/>
  </w:style>
  <w:style w:type="character" w:styleId="Hyperlink">
    <w:name w:val="Hyperlink"/>
    <w:basedOn w:val="DefaultParagraphFont"/>
    <w:uiPriority w:val="99"/>
    <w:unhideWhenUsed/>
    <w:rsid w:val="00D86262"/>
    <w:rPr>
      <w:color w:val="0000FF" w:themeColor="hyperlink"/>
      <w:u w:val="single"/>
    </w:rPr>
  </w:style>
  <w:style w:type="paragraph" w:styleId="NormalWeb">
    <w:name w:val="Normal (Web)"/>
    <w:basedOn w:val="Normal"/>
    <w:uiPriority w:val="99"/>
    <w:semiHidden/>
    <w:unhideWhenUsed/>
    <w:rsid w:val="0025621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6709DB"/>
    <w:rPr>
      <w:color w:val="800080" w:themeColor="followedHyperlink"/>
      <w:u w:val="single"/>
    </w:rPr>
  </w:style>
  <w:style w:type="character" w:styleId="CommentReference">
    <w:name w:val="annotation reference"/>
    <w:basedOn w:val="DefaultParagraphFont"/>
    <w:uiPriority w:val="99"/>
    <w:semiHidden/>
    <w:unhideWhenUsed/>
    <w:rsid w:val="00124A32"/>
    <w:rPr>
      <w:sz w:val="16"/>
      <w:szCs w:val="16"/>
    </w:rPr>
  </w:style>
  <w:style w:type="paragraph" w:styleId="CommentText">
    <w:name w:val="annotation text"/>
    <w:basedOn w:val="Normal"/>
    <w:link w:val="CommentTextChar"/>
    <w:uiPriority w:val="99"/>
    <w:semiHidden/>
    <w:unhideWhenUsed/>
    <w:rsid w:val="00124A32"/>
    <w:pPr>
      <w:spacing w:line="240" w:lineRule="auto"/>
    </w:pPr>
    <w:rPr>
      <w:sz w:val="20"/>
      <w:szCs w:val="20"/>
    </w:rPr>
  </w:style>
  <w:style w:type="character" w:customStyle="1" w:styleId="CommentTextChar">
    <w:name w:val="Comment Text Char"/>
    <w:basedOn w:val="DefaultParagraphFont"/>
    <w:link w:val="CommentText"/>
    <w:uiPriority w:val="99"/>
    <w:semiHidden/>
    <w:rsid w:val="00124A32"/>
    <w:rPr>
      <w:sz w:val="20"/>
      <w:szCs w:val="20"/>
    </w:rPr>
  </w:style>
  <w:style w:type="paragraph" w:styleId="CommentSubject">
    <w:name w:val="annotation subject"/>
    <w:basedOn w:val="CommentText"/>
    <w:next w:val="CommentText"/>
    <w:link w:val="CommentSubjectChar"/>
    <w:uiPriority w:val="99"/>
    <w:semiHidden/>
    <w:unhideWhenUsed/>
    <w:rsid w:val="00124A32"/>
    <w:rPr>
      <w:b/>
      <w:bCs/>
    </w:rPr>
  </w:style>
  <w:style w:type="character" w:customStyle="1" w:styleId="CommentSubjectChar">
    <w:name w:val="Comment Subject Char"/>
    <w:basedOn w:val="CommentTextChar"/>
    <w:link w:val="CommentSubject"/>
    <w:uiPriority w:val="99"/>
    <w:semiHidden/>
    <w:rsid w:val="00124A32"/>
    <w:rPr>
      <w:b/>
      <w:bCs/>
      <w:sz w:val="20"/>
      <w:szCs w:val="20"/>
    </w:rPr>
  </w:style>
  <w:style w:type="paragraph" w:styleId="BalloonText">
    <w:name w:val="Balloon Text"/>
    <w:basedOn w:val="Normal"/>
    <w:link w:val="BalloonTextChar"/>
    <w:uiPriority w:val="99"/>
    <w:semiHidden/>
    <w:unhideWhenUsed/>
    <w:rsid w:val="00124A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4A32"/>
    <w:rPr>
      <w:rFonts w:ascii="Tahoma" w:hAnsi="Tahoma" w:cs="Tahoma"/>
      <w:sz w:val="16"/>
      <w:szCs w:val="16"/>
    </w:rPr>
  </w:style>
  <w:style w:type="character" w:customStyle="1" w:styleId="Heading9Char">
    <w:name w:val="Heading 9 Char"/>
    <w:basedOn w:val="DefaultParagraphFont"/>
    <w:link w:val="Heading9"/>
    <w:uiPriority w:val="9"/>
    <w:semiHidden/>
    <w:rsid w:val="002912A0"/>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2912A0"/>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2912A0"/>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2912A0"/>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2912A0"/>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2912A0"/>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2912A0"/>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2912A0"/>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2912A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912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912A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912A0"/>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2912A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912A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12A0"/>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912A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912A0"/>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912A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5076"/>
    <w:pPr>
      <w:ind w:left="720"/>
      <w:contextualSpacing/>
    </w:pPr>
  </w:style>
  <w:style w:type="paragraph" w:styleId="Header">
    <w:name w:val="header"/>
    <w:basedOn w:val="Normal"/>
    <w:link w:val="HeaderChar"/>
    <w:uiPriority w:val="99"/>
    <w:unhideWhenUsed/>
    <w:rsid w:val="00FA5AE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5AEB"/>
  </w:style>
  <w:style w:type="paragraph" w:styleId="Footer">
    <w:name w:val="footer"/>
    <w:basedOn w:val="Normal"/>
    <w:link w:val="FooterChar"/>
    <w:uiPriority w:val="99"/>
    <w:unhideWhenUsed/>
    <w:rsid w:val="00FA5A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5AEB"/>
  </w:style>
  <w:style w:type="character" w:styleId="Hyperlink">
    <w:name w:val="Hyperlink"/>
    <w:basedOn w:val="DefaultParagraphFont"/>
    <w:uiPriority w:val="99"/>
    <w:unhideWhenUsed/>
    <w:rsid w:val="00D86262"/>
    <w:rPr>
      <w:color w:val="0000FF" w:themeColor="hyperlink"/>
      <w:u w:val="single"/>
    </w:rPr>
  </w:style>
  <w:style w:type="paragraph" w:styleId="NormalWeb">
    <w:name w:val="Normal (Web)"/>
    <w:basedOn w:val="Normal"/>
    <w:uiPriority w:val="99"/>
    <w:semiHidden/>
    <w:unhideWhenUsed/>
    <w:rsid w:val="0025621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6709DB"/>
    <w:rPr>
      <w:color w:val="800080" w:themeColor="followedHyperlink"/>
      <w:u w:val="single"/>
    </w:rPr>
  </w:style>
  <w:style w:type="character" w:styleId="CommentReference">
    <w:name w:val="annotation reference"/>
    <w:basedOn w:val="DefaultParagraphFont"/>
    <w:uiPriority w:val="99"/>
    <w:semiHidden/>
    <w:unhideWhenUsed/>
    <w:rsid w:val="00124A32"/>
    <w:rPr>
      <w:sz w:val="16"/>
      <w:szCs w:val="16"/>
    </w:rPr>
  </w:style>
  <w:style w:type="paragraph" w:styleId="CommentText">
    <w:name w:val="annotation text"/>
    <w:basedOn w:val="Normal"/>
    <w:link w:val="CommentTextChar"/>
    <w:uiPriority w:val="99"/>
    <w:semiHidden/>
    <w:unhideWhenUsed/>
    <w:rsid w:val="00124A32"/>
    <w:pPr>
      <w:spacing w:line="240" w:lineRule="auto"/>
    </w:pPr>
    <w:rPr>
      <w:sz w:val="20"/>
      <w:szCs w:val="20"/>
    </w:rPr>
  </w:style>
  <w:style w:type="character" w:customStyle="1" w:styleId="CommentTextChar">
    <w:name w:val="Comment Text Char"/>
    <w:basedOn w:val="DefaultParagraphFont"/>
    <w:link w:val="CommentText"/>
    <w:uiPriority w:val="99"/>
    <w:semiHidden/>
    <w:rsid w:val="00124A32"/>
    <w:rPr>
      <w:sz w:val="20"/>
      <w:szCs w:val="20"/>
    </w:rPr>
  </w:style>
  <w:style w:type="paragraph" w:styleId="CommentSubject">
    <w:name w:val="annotation subject"/>
    <w:basedOn w:val="CommentText"/>
    <w:next w:val="CommentText"/>
    <w:link w:val="CommentSubjectChar"/>
    <w:uiPriority w:val="99"/>
    <w:semiHidden/>
    <w:unhideWhenUsed/>
    <w:rsid w:val="00124A32"/>
    <w:rPr>
      <w:b/>
      <w:bCs/>
    </w:rPr>
  </w:style>
  <w:style w:type="character" w:customStyle="1" w:styleId="CommentSubjectChar">
    <w:name w:val="Comment Subject Char"/>
    <w:basedOn w:val="CommentTextChar"/>
    <w:link w:val="CommentSubject"/>
    <w:uiPriority w:val="99"/>
    <w:semiHidden/>
    <w:rsid w:val="00124A32"/>
    <w:rPr>
      <w:b/>
      <w:bCs/>
      <w:sz w:val="20"/>
      <w:szCs w:val="20"/>
    </w:rPr>
  </w:style>
  <w:style w:type="paragraph" w:styleId="BalloonText">
    <w:name w:val="Balloon Text"/>
    <w:basedOn w:val="Normal"/>
    <w:link w:val="BalloonTextChar"/>
    <w:uiPriority w:val="99"/>
    <w:semiHidden/>
    <w:unhideWhenUsed/>
    <w:rsid w:val="00124A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24A32"/>
    <w:rPr>
      <w:rFonts w:ascii="Tahoma" w:hAnsi="Tahoma" w:cs="Tahoma"/>
      <w:sz w:val="16"/>
      <w:szCs w:val="16"/>
    </w:rPr>
  </w:style>
  <w:style w:type="character" w:customStyle="1" w:styleId="Heading9Char">
    <w:name w:val="Heading 9 Char"/>
    <w:basedOn w:val="DefaultParagraphFont"/>
    <w:link w:val="Heading9"/>
    <w:uiPriority w:val="9"/>
    <w:semiHidden/>
    <w:rsid w:val="002912A0"/>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2912A0"/>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2912A0"/>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2912A0"/>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2912A0"/>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2912A0"/>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2912A0"/>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2912A0"/>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2912A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821998">
      <w:bodyDiv w:val="1"/>
      <w:marLeft w:val="0"/>
      <w:marRight w:val="0"/>
      <w:marTop w:val="0"/>
      <w:marBottom w:val="0"/>
      <w:divBdr>
        <w:top w:val="none" w:sz="0" w:space="0" w:color="auto"/>
        <w:left w:val="none" w:sz="0" w:space="0" w:color="auto"/>
        <w:bottom w:val="none" w:sz="0" w:space="0" w:color="auto"/>
        <w:right w:val="none" w:sz="0" w:space="0" w:color="auto"/>
      </w:divBdr>
    </w:div>
    <w:div w:id="1568762961">
      <w:bodyDiv w:val="1"/>
      <w:marLeft w:val="0"/>
      <w:marRight w:val="0"/>
      <w:marTop w:val="0"/>
      <w:marBottom w:val="0"/>
      <w:divBdr>
        <w:top w:val="none" w:sz="0" w:space="0" w:color="auto"/>
        <w:left w:val="none" w:sz="0" w:space="0" w:color="auto"/>
        <w:bottom w:val="none" w:sz="0" w:space="0" w:color="auto"/>
        <w:right w:val="none" w:sz="0" w:space="0" w:color="auto"/>
      </w:divBdr>
    </w:div>
    <w:div w:id="185881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3170</Words>
  <Characters>16426</Characters>
  <Application>Microsoft Macintosh Word</Application>
  <DocSecurity>0</DocSecurity>
  <Lines>252</Lines>
  <Paragraphs>60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19536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2012-04-02T15:22:00Z</cp:lastPrinted>
  <dcterms:created xsi:type="dcterms:W3CDTF">2012-04-11T01:55:00Z</dcterms:created>
  <dcterms:modified xsi:type="dcterms:W3CDTF">2012-06-01T21:06:00Z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c9f87eca-a15e-4420-961a-a3a58134e819</vt:lpwstr>
  </property>
  <property fmtid="{D5CDD505-2E9C-101B-9397-08002B2CF9AE}" pid="3" name="DocumentToolsEventId">
    <vt:lpwstr>02eb1b32-364a-43ec-aeb7-03f89f10c9b2</vt:lpwstr>
  </property>
</Properties>
</file>